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59" w:lineRule="auto"/>
        <w:ind w:right="283" w:hanging="10" w:left="2705"/>
        <w:jc w:val="left"/>
        <w:rPr>
          <w:lang w:val="uk-UA"/>
        </w:rPr>
      </w:pPr>
      <w:r>
        <w:rPr>
          <w:rFonts w:hint="default"/>
          <w:lang w:val="uk-UA"/>
        </w:rPr>
        <w:t xml:space="preserve">                                   </w:t>
      </w:r>
      <w:r>
        <w:t xml:space="preserve">Додаток</w:t>
      </w:r>
      <w:r>
        <w:rPr>
          <w:lang w:val="uk-UA"/>
        </w:rPr>
        <w:t xml:space="preserve"> </w:t>
      </w:r>
      <w:r>
        <w:rPr>
          <w:lang w:val="uk-UA"/>
        </w:rPr>
      </w:r>
    </w:p>
    <w:p>
      <w:pPr>
        <w:pBdr/>
        <w:spacing w:after="0" w:line="259" w:lineRule="auto"/>
        <w:ind w:right="283" w:hanging="10" w:left="2705"/>
        <w:jc w:val="center"/>
        <w:rPr/>
      </w:pPr>
      <w:r>
        <w:rPr>
          <w:lang w:val="uk-UA"/>
        </w:rPr>
        <w:t xml:space="preserve">                 д</w:t>
      </w:r>
      <w:r>
        <w:t xml:space="preserve">о  рішення виконавчого </w:t>
      </w:r>
      <w:r/>
    </w:p>
    <w:p>
      <w:pPr>
        <w:pBdr/>
        <w:spacing w:after="0" w:line="259" w:lineRule="auto"/>
        <w:ind w:right="283" w:hanging="10" w:left="2705"/>
        <w:jc w:val="center"/>
        <w:rPr/>
      </w:pPr>
      <w:r>
        <w:t xml:space="preserve">                              комітету Менської мі ської ради</w:t>
      </w:r>
      <w:r/>
    </w:p>
    <w:p>
      <w:pPr>
        <w:pBdr/>
        <w:spacing w:after="302" w:line="259" w:lineRule="auto"/>
        <w:ind w:right="1070" w:firstLine="0" w:left="0"/>
        <w:jc w:val="center"/>
        <w:rPr/>
      </w:pPr>
      <w:r>
        <w:rPr>
          <w:rFonts w:hint="default"/>
          <w:lang w:val="uk-UA"/>
        </w:rPr>
        <w:t xml:space="preserve">                                                                        27 </w:t>
      </w:r>
      <w:r>
        <w:t xml:space="preserve">серпень 202</w:t>
      </w:r>
      <w:r>
        <w:rPr>
          <w:rFonts w:hint="default"/>
          <w:lang w:val="uk-UA"/>
        </w:rPr>
        <w:t xml:space="preserve">6</w:t>
      </w:r>
      <w:r>
        <w:t xml:space="preserve"> року №165</w:t>
      </w:r>
      <w:r/>
    </w:p>
    <w:p>
      <w:pPr>
        <w:pBdr/>
        <w:spacing w:after="302" w:line="259" w:lineRule="auto"/>
        <w:ind w:right="1070" w:firstLine="0" w:left="0"/>
        <w:jc w:val="center"/>
        <w:rPr/>
      </w:pPr>
      <w:r/>
      <w:bookmarkStart w:id="0" w:name="_GoBack"/>
      <w:r/>
      <w:bookmarkEnd w:id="0"/>
      <w:r/>
      <w:r/>
    </w:p>
    <w:p>
      <w:pPr>
        <w:pBdr/>
        <w:spacing w:after="12"/>
        <w:ind w:right="2028" w:hanging="10" w:left="2037"/>
        <w:jc w:val="center"/>
        <w:rPr/>
      </w:pPr>
      <w:r>
        <w:rPr>
          <w:b/>
        </w:rPr>
        <w:t xml:space="preserve">Про підготовку закладів освіти</w:t>
      </w:r>
      <w:r/>
    </w:p>
    <w:p>
      <w:pPr>
        <w:pBdr/>
        <w:spacing w:after="310"/>
        <w:ind w:right="2028" w:hanging="10" w:left="2037"/>
        <w:jc w:val="center"/>
        <w:rPr/>
      </w:pPr>
      <w:r>
        <w:rPr>
          <w:b/>
        </w:rPr>
        <w:t xml:space="preserve">Менської міської територіальної громади до нового 202</w:t>
      </w:r>
      <w:r>
        <w:rPr>
          <w:rFonts w:hint="default"/>
          <w:b/>
          <w:lang w:val="uk-UA"/>
        </w:rPr>
        <w:t xml:space="preserve">6</w:t>
      </w:r>
      <w:r>
        <w:rPr>
          <w:b/>
        </w:rPr>
        <w:t xml:space="preserve">/202</w:t>
      </w:r>
      <w:r>
        <w:rPr>
          <w:rFonts w:hint="default"/>
          <w:b/>
          <w:lang w:val="uk-UA"/>
        </w:rPr>
        <w:t xml:space="preserve">7</w:t>
      </w:r>
      <w:r>
        <w:rPr>
          <w:b/>
        </w:rPr>
        <w:t xml:space="preserve"> навчального року</w:t>
      </w:r>
      <w:r/>
    </w:p>
    <w:p>
      <w:pPr>
        <w:pBdr/>
        <w:spacing/>
        <w:ind w:left="-15"/>
        <w:rPr/>
      </w:pPr>
      <w:r>
        <w:t xml:space="preserve">З метою забезпечення повноцінного функціонування закладів освіти, створення належних умов для навчання та виховання дітей, здійснення якісної підготовки закладів освіти до організованого початку 202</w:t>
      </w:r>
      <w:r>
        <w:rPr>
          <w:rFonts w:hint="default"/>
          <w:lang w:val="uk-UA"/>
        </w:rPr>
        <w:t xml:space="preserve">6/</w:t>
      </w:r>
      <w:r>
        <w:t xml:space="preserve">202</w:t>
      </w:r>
      <w:r>
        <w:rPr>
          <w:rFonts w:hint="default"/>
          <w:lang w:val="uk-UA"/>
        </w:rPr>
        <w:t xml:space="preserve">7</w:t>
      </w:r>
      <w:r>
        <w:t xml:space="preserve"> навчального року та до роботи в осінньо-зимовий період Відділом освіти Менської міської ради, керівниками закладів освіти проводиться відповідна робота.</w:t>
      </w:r>
      <w:r/>
    </w:p>
    <w:p>
      <w:pPr>
        <w:pBdr/>
        <w:spacing/>
        <w:ind w:left="-15"/>
        <w:rPr/>
      </w:pPr>
      <w:r>
        <w:t xml:space="preserve">Вживаються заходи щодо створення необхі</w:t>
      </w:r>
      <w:r>
        <w:t xml:space="preserve">дних санітарно-гігієнічних умов для навчання і виховання дітей у закладах дошкільної освіти, загальної середньої освіти, позашкільної освіти, а також виконання вимог нормативно-технічних документів з охорони праці, техніки безпеки та протипожежної безпеки.</w:t>
      </w:r>
      <w:r/>
    </w:p>
    <w:p>
      <w:pPr>
        <w:pBdr/>
        <w:spacing/>
        <w:ind w:left="-15"/>
        <w:rPr/>
      </w:pPr>
      <w:r>
        <w:t xml:space="preserve">Всі заходи відбуваються в умовах оголошеного воєнного стану в Україні, що вносить свої корективи у підготовку закладів освіти.</w:t>
      </w:r>
      <w:r/>
    </w:p>
    <w:p>
      <w:pPr>
        <w:pBdr/>
        <w:spacing/>
        <w:ind w:left="-15"/>
        <w:rPr>
          <w:color w:val="auto"/>
        </w:rPr>
      </w:pPr>
      <w:r>
        <w:t xml:space="preserve">Станом на звітну дату в підпорядкуванні Відділу освіти Менської міської ради перебуває </w:t>
      </w:r>
      <w:r>
        <w:rPr>
          <w:rFonts w:hint="default"/>
          <w:lang w:val="uk-UA"/>
        </w:rPr>
        <w:t xml:space="preserve">28</w:t>
      </w:r>
      <w:r>
        <w:t xml:space="preserve"> закладів та установ освіти комунальної форми власності, з них: 13 закладів дошкільної освіти</w:t>
      </w:r>
      <w:r>
        <w:rPr>
          <w:rFonts w:hint="default"/>
          <w:lang w:val="uk-UA"/>
        </w:rPr>
        <w:t xml:space="preserve"> та філій</w:t>
      </w:r>
      <w:r>
        <w:t xml:space="preserve">,</w:t>
      </w:r>
      <w:r>
        <w:rPr>
          <w:color w:val="auto"/>
        </w:rPr>
        <w:t xml:space="preserve"> </w:t>
      </w:r>
      <w:r>
        <w:rPr>
          <w:color w:val="auto"/>
        </w:rPr>
        <w:t xml:space="preserve">1</w:t>
      </w:r>
      <w:r>
        <w:rPr>
          <w:rFonts w:hint="default"/>
          <w:color w:val="auto"/>
          <w:lang w:val="uk-UA"/>
        </w:rPr>
        <w:t xml:space="preserve">2</w:t>
      </w:r>
      <w:r>
        <w:rPr>
          <w:color w:val="auto"/>
        </w:rPr>
        <w:t xml:space="preserve"> закладів загальної середньої освіти та філій (</w:t>
      </w:r>
      <w:r>
        <w:rPr>
          <w:rFonts w:hint="default"/>
          <w:color w:val="auto"/>
          <w:lang w:val="uk-UA"/>
        </w:rPr>
        <w:t xml:space="preserve">2</w:t>
      </w:r>
      <w:r>
        <w:rPr>
          <w:color w:val="auto"/>
        </w:rPr>
        <w:t xml:space="preserve"> ЗЗСО І-ІІІ ступенів, </w:t>
      </w:r>
      <w:r>
        <w:rPr>
          <w:rFonts w:hint="default"/>
          <w:color w:val="auto"/>
          <w:lang w:val="uk-UA"/>
        </w:rPr>
        <w:t xml:space="preserve">3</w:t>
      </w:r>
      <w:r>
        <w:rPr>
          <w:color w:val="auto"/>
        </w:rPr>
        <w:t xml:space="preserve"> гімназії та </w:t>
      </w:r>
      <w:r>
        <w:rPr>
          <w:rFonts w:hint="default"/>
          <w:color w:val="auto"/>
          <w:lang w:val="uk-UA"/>
        </w:rPr>
        <w:t xml:space="preserve">7</w:t>
      </w:r>
      <w:r>
        <w:rPr>
          <w:color w:val="auto"/>
        </w:rPr>
        <w:t xml:space="preserve"> філі</w:t>
      </w:r>
      <w:r>
        <w:rPr>
          <w:color w:val="auto"/>
          <w:lang w:val="uk-UA"/>
        </w:rPr>
        <w:t xml:space="preserve">й</w:t>
      </w:r>
      <w:r>
        <w:rPr>
          <w:color w:val="auto"/>
        </w:rPr>
        <w:t xml:space="preserve"> І-ІІ ступенів </w:t>
      </w:r>
      <w:r>
        <w:rPr>
          <w:color w:val="auto"/>
          <w:lang w:val="uk-UA"/>
        </w:rPr>
        <w:t xml:space="preserve">опорних</w:t>
      </w:r>
      <w:r>
        <w:rPr>
          <w:rFonts w:hint="default"/>
          <w:color w:val="auto"/>
          <w:lang w:val="uk-UA"/>
        </w:rPr>
        <w:t xml:space="preserve"> </w:t>
      </w:r>
      <w:r>
        <w:rPr>
          <w:color w:val="auto"/>
        </w:rPr>
        <w:t xml:space="preserve">закладів освіти)</w:t>
      </w:r>
      <w:r>
        <w:rPr>
          <w:color w:val="auto"/>
        </w:rPr>
        <w:t xml:space="preserve">, </w:t>
      </w:r>
      <w:r>
        <w:rPr>
          <w:rFonts w:hint="default"/>
          <w:color w:val="auto"/>
          <w:lang w:val="uk-UA"/>
        </w:rPr>
        <w:t xml:space="preserve">2</w:t>
      </w:r>
      <w:r>
        <w:rPr>
          <w:color w:val="auto"/>
        </w:rPr>
        <w:t xml:space="preserve"> заклади позашкільної освіти, Степанівський МНВК та </w:t>
      </w:r>
      <w:r>
        <w:rPr>
          <w:color w:val="auto"/>
          <w:lang w:val="uk-UA"/>
        </w:rPr>
        <w:t xml:space="preserve">Менський</w:t>
      </w:r>
      <w:r>
        <w:rPr>
          <w:rFonts w:hint="default"/>
          <w:color w:val="auto"/>
          <w:lang w:val="uk-UA"/>
        </w:rPr>
        <w:t xml:space="preserve"> </w:t>
      </w:r>
      <w:r>
        <w:rPr>
          <w:color w:val="auto"/>
        </w:rPr>
        <w:t xml:space="preserve">ІРЦ.</w:t>
      </w:r>
      <w:r>
        <w:rPr>
          <w:color w:val="auto"/>
        </w:rPr>
      </w:r>
    </w:p>
    <w:p>
      <w:pPr>
        <w:pBdr/>
        <w:spacing/>
        <w:ind w:left="-15"/>
        <w:rPr>
          <w:rFonts w:hint="default"/>
          <w:color w:val="auto"/>
        </w:rPr>
      </w:pPr>
      <w:r>
        <w:rPr>
          <w:color w:val="auto"/>
        </w:rPr>
        <w:t xml:space="preserve">Проведено закупівлю твердих видів палива. Закуплено твердих видів палива по закладах освіти: </w:t>
      </w:r>
      <w:r>
        <w:rPr>
          <w:color w:val="auto"/>
        </w:rPr>
        <w:t xml:space="preserve">дрова </w:t>
      </w:r>
      <w:r>
        <w:rPr>
          <w:rFonts w:hint="default"/>
          <w:color w:val="auto"/>
          <w:lang w:val="uk-UA"/>
        </w:rPr>
        <w:t xml:space="preserve">100</w:t>
      </w:r>
      <w:r>
        <w:rPr>
          <w:color w:val="auto"/>
        </w:rPr>
        <w:t xml:space="preserve">%</w:t>
      </w:r>
      <w:r>
        <w:rPr>
          <w:color w:val="auto"/>
        </w:rPr>
        <w:t xml:space="preserve"> (</w:t>
      </w:r>
      <w:r>
        <w:rPr>
          <w:rFonts w:hint="default"/>
          <w:color w:val="auto"/>
          <w:lang w:val="uk-UA"/>
        </w:rPr>
        <w:t xml:space="preserve">1615 </w:t>
      </w:r>
      <w:r>
        <w:rPr>
          <w:color w:val="auto"/>
        </w:rPr>
        <w:t xml:space="preserve">м3),</w:t>
      </w:r>
      <w:r>
        <w:rPr>
          <w:color w:val="auto"/>
        </w:rPr>
        <w:t xml:space="preserve"> торфобрикет – </w:t>
      </w:r>
      <w:r>
        <w:rPr>
          <w:rFonts w:hint="default"/>
          <w:color w:val="auto"/>
          <w:lang w:val="uk-UA"/>
        </w:rPr>
        <w:t xml:space="preserve">50</w:t>
      </w:r>
      <w:r>
        <w:rPr>
          <w:color w:val="auto"/>
        </w:rPr>
        <w:t xml:space="preserve">% (потреба </w:t>
      </w:r>
      <w:r>
        <w:rPr>
          <w:rFonts w:hint="default"/>
          <w:color w:val="auto"/>
          <w:lang w:val="uk-UA"/>
        </w:rPr>
        <w:t xml:space="preserve">251,8 </w:t>
      </w:r>
      <w:r>
        <w:rPr>
          <w:color w:val="auto"/>
        </w:rPr>
        <w:t xml:space="preserve">т, завезено </w:t>
      </w:r>
      <w:r>
        <w:rPr>
          <w:rFonts w:hint="default"/>
          <w:color w:val="auto"/>
          <w:lang w:val="uk-UA"/>
        </w:rPr>
        <w:t xml:space="preserve">125,9 </w:t>
      </w:r>
      <w:r>
        <w:rPr>
          <w:color w:val="auto"/>
        </w:rPr>
        <w:t xml:space="preserve">т.),</w:t>
      </w:r>
      <w:r>
        <w:rPr>
          <w:color w:val="auto"/>
        </w:rPr>
        <w:t xml:space="preserve"> вугілля – 100% (потреба 12</w:t>
      </w:r>
      <w:r>
        <w:rPr>
          <w:rFonts w:hint="default"/>
          <w:color w:val="auto"/>
          <w:lang w:val="uk-UA"/>
        </w:rPr>
        <w:t xml:space="preserve">0 </w:t>
      </w:r>
      <w:r>
        <w:rPr>
          <w:color w:val="auto"/>
        </w:rPr>
        <w:t xml:space="preserve">т. завезено 12</w:t>
      </w:r>
      <w:r>
        <w:rPr>
          <w:rFonts w:hint="default"/>
          <w:color w:val="auto"/>
          <w:lang w:val="uk-UA"/>
        </w:rPr>
        <w:t xml:space="preserve">0 </w:t>
      </w:r>
      <w:r>
        <w:rPr>
          <w:color w:val="auto"/>
        </w:rPr>
        <w:t xml:space="preserve">т.).</w:t>
      </w:r>
      <w:r>
        <w:rPr>
          <w:rFonts w:hint="default"/>
          <w:color w:val="auto"/>
          <w:lang w:val="uk-UA"/>
        </w:rPr>
        <w:t xml:space="preserve"> </w:t>
      </w:r>
      <w:r>
        <w:rPr>
          <w:rFonts w:hint="default"/>
          <w:color w:val="auto"/>
          <w:lang w:val="uk-UA"/>
        </w:rPr>
      </w:r>
    </w:p>
    <w:p>
      <w:pPr>
        <w:pBdr/>
        <w:spacing/>
        <w:ind w:left="-15"/>
        <w:rPr>
          <w:color w:val="auto"/>
        </w:rPr>
      </w:pPr>
      <w:r>
        <w:rPr>
          <w:color w:val="auto"/>
        </w:rPr>
        <w:t xml:space="preserve">Для забезпечення безперебійної роботи закладів освіти в осінньо-зимовий період 202</w:t>
      </w:r>
      <w:r>
        <w:rPr>
          <w:rFonts w:hint="default"/>
          <w:color w:val="auto"/>
          <w:lang w:val="uk-UA"/>
        </w:rPr>
        <w:t xml:space="preserve">6/</w:t>
      </w:r>
      <w:r>
        <w:rPr>
          <w:color w:val="auto"/>
        </w:rPr>
        <w:t xml:space="preserve">202</w:t>
      </w:r>
      <w:r>
        <w:rPr>
          <w:rFonts w:hint="default"/>
          <w:color w:val="auto"/>
          <w:lang w:val="uk-UA"/>
        </w:rPr>
        <w:t xml:space="preserve">7</w:t>
      </w:r>
      <w:r>
        <w:rPr>
          <w:color w:val="auto"/>
        </w:rPr>
        <w:t xml:space="preserve"> роки проводиться технічний огляд системи опалення, котлів та системи водопостачання.</w:t>
      </w:r>
      <w:r>
        <w:rPr>
          <w:color w:val="auto"/>
        </w:rPr>
      </w:r>
    </w:p>
    <w:p>
      <w:pPr>
        <w:pBdr/>
        <w:spacing/>
        <w:ind w:left="-15"/>
        <w:rPr>
          <w:rFonts w:hint="default"/>
          <w:color w:val="auto"/>
        </w:rPr>
      </w:pPr>
      <w:r>
        <w:rPr>
          <w:color w:val="auto"/>
          <w:lang w:val="uk-UA"/>
        </w:rPr>
        <w:t xml:space="preserve">До</w:t>
      </w:r>
      <w:r>
        <w:rPr>
          <w:rFonts w:hint="default"/>
          <w:color w:val="auto"/>
          <w:lang w:val="uk-UA"/>
        </w:rPr>
        <w:t xml:space="preserve"> початку нового навчального року в закладах освіти громади проведено заходи по ремонту чи реконструкції приміщень, оновленню матеріально-технічної бази, виконанню протипожежних заходів:</w:t>
      </w:r>
      <w:r>
        <w:rPr>
          <w:rFonts w:hint="default"/>
          <w:color w:val="auto"/>
          <w:lang w:val="uk-UA"/>
        </w:rPr>
      </w:r>
    </w:p>
    <w:p>
      <w:pPr>
        <w:pBdr/>
        <w:spacing/>
        <w:ind w:left="-15"/>
        <w:rPr>
          <w:color w:val="auto"/>
        </w:rPr>
      </w:pPr>
      <w:r>
        <w:rPr>
          <w:color w:val="auto"/>
        </w:rPr>
        <w:t xml:space="preserve">Опорний заклад Менська гімназія Менської міської ради:</w:t>
      </w:r>
      <w:r>
        <w:rPr>
          <w:color w:val="auto"/>
        </w:rPr>
      </w:r>
    </w:p>
    <w:p>
      <w:pPr>
        <w:pBdr/>
        <w:spacing/>
        <w:ind w:left="-15"/>
        <w:rPr>
          <w:color w:val="auto"/>
        </w:rPr>
      </w:pPr>
      <w:r>
        <w:rPr>
          <w:color w:val="auto"/>
        </w:rPr>
        <w:t xml:space="preserve">1.Капітальний ремонт встановлення автоматичної пожежної сигналізації, оповіщення про пожежу </w:t>
      </w:r>
      <w:r>
        <w:rPr>
          <w:rFonts w:hint="default"/>
          <w:color w:val="auto"/>
          <w:lang w:val="uk-UA"/>
        </w:rPr>
        <w:t xml:space="preserve"> у всіх приміщеннях закладу </w:t>
      </w:r>
      <w:r>
        <w:rPr>
          <w:color w:val="auto"/>
        </w:rPr>
        <w:t xml:space="preserve">на суму </w:t>
      </w:r>
      <w:r>
        <w:rPr>
          <w:rFonts w:hint="default"/>
          <w:color w:val="auto"/>
          <w:lang w:val="uk-UA"/>
        </w:rPr>
        <w:t xml:space="preserve">1 358 375</w:t>
      </w:r>
      <w:r>
        <w:rPr>
          <w:color w:val="auto"/>
        </w:rPr>
        <w:t xml:space="preserve">, 00 грн</w:t>
      </w:r>
      <w:r>
        <w:rPr>
          <w:rFonts w:hint="default"/>
          <w:color w:val="auto"/>
          <w:lang w:val="uk-UA"/>
        </w:rPr>
        <w:t xml:space="preserve">., з них кошти субвенції з державного бюджету - 1 222 537,00 грн., кошти місцевого бюджету на смовах співфінансування - 135 838,00 грн.</w:t>
      </w:r>
      <w:r>
        <w:rPr>
          <w:color w:val="auto"/>
        </w:rPr>
        <w:t xml:space="preserve"> </w:t>
      </w:r>
      <w:r>
        <w:rPr>
          <w:color w:val="auto"/>
        </w:rPr>
      </w:r>
    </w:p>
    <w:p>
      <w:pPr>
        <w:pBdr/>
        <w:spacing/>
        <w:ind w:left="-15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2.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sz w:val="28"/>
          <w:szCs w:val="28"/>
          <w:u w:val="none"/>
          <w:lang w:val="en-US" w:eastAsia="zh-CN" w:bidi="ar"/>
        </w:rPr>
        <w:t xml:space="preserve">Капітальний ремонт "Встановлення системи блискавкозахисту на будівлі Опорного закладу Менська гімназія Менської міської ради за адресою: Чернігівська область, Корюківський район, м. Мена, вул. Шевченка,56</w:t>
      </w:r>
      <w:r>
        <w:rPr>
          <w:rFonts w:hint="default" w:eastAsia="SimSun" w:cs="Times New Roman"/>
          <w:i w:val="0"/>
          <w:iCs w:val="0"/>
          <w:color w:val="auto"/>
          <w:sz w:val="28"/>
          <w:szCs w:val="28"/>
          <w:u w:val="none"/>
          <w:lang w:val="uk-UA" w:eastAsia="zh-CN" w:bidi="ar"/>
        </w:rPr>
        <w:t xml:space="preserve"> загальною вартістю - 1 170 635,00 грн, з них кошти субвенції з державного бюджету - 1 053 571,00 грн., кошти місцевого бюджету на умовах співфінансування - 117 064,00 грн.</w:t>
      </w:r>
      <w:r>
        <w:rPr>
          <w:rFonts w:hint="default"/>
          <w:color w:val="auto"/>
          <w:lang w:val="uk-UA"/>
        </w:rPr>
      </w:r>
    </w:p>
    <w:p>
      <w:pPr>
        <w:pStyle w:val="725"/>
        <w:keepNext w:val="false"/>
        <w:keepLines w:val="false"/>
        <w:widowControl w:val="true"/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afterAutospacing="0" w:before="0" w:beforeAutospacing="0" w:line="240" w:lineRule="auto"/>
        <w:ind w:right="0" w:firstLine="559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3. П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о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точний ремонт з заміни дверей та ремонту ганку в приміщенні майстерні Опорного закладу Менська гімназія Менської міської ради за адресою: 15600, Чернігівська область, Корюківський район, м.Мена, вул.Шевченка, б.56 на суму 197469,00 грн. (кошти ЮНІСЕФ)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uk-UA"/>
        </w:rPr>
        <w:t xml:space="preserve">.</w:t>
      </w:r>
      <w:r>
        <w:rPr>
          <w:rFonts w:hint="default"/>
          <w:color w:val="auto"/>
          <w:lang w:val="uk-UA"/>
        </w:rPr>
      </w:r>
    </w:p>
    <w:p>
      <w:pPr>
        <w:pStyle w:val="725"/>
        <w:keepNext w:val="false"/>
        <w:keepLines w:val="false"/>
        <w:widowControl w:val="true"/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afterAutospacing="0" w:before="0" w:beforeAutospacing="0" w:line="240" w:lineRule="auto"/>
        <w:ind w:firstLine="560" w:left="0"/>
        <w:jc w:val="both"/>
        <w:rPr>
          <w:color w:val="auto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uk-UA"/>
        </w:rPr>
        <w:t xml:space="preserve">4.П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оточний р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емонт з заміни дверей та ремонту ганку у спортивний зал головного корпусу Опорного закладу Менська гімназія Менської міської ради за адресою: 15600, Чернігівська область, Корюківський район, м.Мена, вул.Шевченка, б.56  на суму 159300,00 грн. (кошти ЮНІСЕФ)</w:t>
      </w:r>
      <w:r>
        <w:rPr>
          <w:color w:val="auto"/>
        </w:rPr>
      </w:r>
    </w:p>
    <w:p>
      <w:pPr>
        <w:pStyle w:val="725"/>
        <w:keepNext w:val="false"/>
        <w:keepLines w:val="false"/>
        <w:widowControl w:val="true"/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afterAutospacing="0" w:before="0" w:beforeAutospacing="0" w:line="240" w:lineRule="auto"/>
        <w:ind w:firstLine="560" w:left="0"/>
        <w:jc w:val="both"/>
        <w:rPr>
          <w:color w:val="auto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uk-UA"/>
        </w:rPr>
        <w:t xml:space="preserve">5. П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оточний р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емонт з заміни дверей та облаштування ганку входу в протирадіаційне укриття Опорного закладу Менська гімназія Менської міської ради за адресою:15600, Чернігівська область, Корюківський район, м.Мена, вул.Шевченка, б.56А на суму 63231,00 грн. (кошти ЮНІСЕФ)</w:t>
      </w:r>
      <w:r>
        <w:rPr>
          <w:color w:val="auto"/>
        </w:rPr>
      </w:r>
    </w:p>
    <w:p>
      <w:pPr>
        <w:pStyle w:val="725"/>
        <w:keepNext w:val="false"/>
        <w:keepLines w:val="false"/>
        <w:widowControl w:val="true"/>
        <w:suppressLineNumbers w:val="false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afterAutospacing="0" w:before="0" w:beforeAutospacing="0" w:line="240" w:lineRule="auto"/>
        <w:ind w:firstLine="560" w:left="0"/>
        <w:jc w:val="both"/>
        <w:rPr>
          <w:color w:val="auto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  <w:lang w:val="uk-UA"/>
        </w:rPr>
        <w:t xml:space="preserve">6. В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огнезахисна обробка дерев'яних конструкцій даху будівлі основного корпусу Опорного закладу Менська гімназія на суму 156725,00 грн. (кошти м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ісц.бюджету)</w:t>
      </w:r>
      <w:r>
        <w:rPr>
          <w:color w:val="auto"/>
        </w:rPr>
      </w:r>
    </w:p>
    <w:p>
      <w:pPr>
        <w:pBdr/>
        <w:spacing/>
        <w:ind w:left="-15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7. Капітальний ремонт приміщення осередку предмету “Захист України”. На даний час тривають ремонтні роботи (загальна вартість близько 1 500 000,00 грн.).</w:t>
      </w:r>
      <w:r>
        <w:rPr>
          <w:rFonts w:hint="default"/>
          <w:color w:val="auto"/>
          <w:lang w:val="uk-UA"/>
        </w:rPr>
      </w:r>
    </w:p>
    <w:p>
      <w:pPr>
        <w:pBdr/>
        <w:spacing/>
        <w:ind w:left="-15"/>
        <w:rPr>
          <w:color w:val="auto"/>
        </w:rPr>
      </w:pPr>
      <w:r>
        <w:rPr>
          <w:color w:val="auto"/>
        </w:rPr>
        <w:t xml:space="preserve">Менський опорний заклад загальної середньої освіти І-ІІІ ступенів ім. Т.Г. Шевченка Менської міської ради:</w:t>
      </w:r>
      <w:r>
        <w:rPr>
          <w:color w:val="auto"/>
        </w:rPr>
      </w:r>
    </w:p>
    <w:p>
      <w:pPr>
        <w:numPr>
          <w:ilvl w:val="0"/>
          <w:numId w:val="1"/>
        </w:numPr>
        <w:pBdr/>
        <w:spacing/>
        <w:ind w:left="-15"/>
        <w:rPr>
          <w:rFonts w:hint="default"/>
          <w:color w:val="auto"/>
        </w:rPr>
      </w:pPr>
      <w:r>
        <w:rPr>
          <w:rFonts w:hint="default"/>
          <w:color w:val="auto"/>
        </w:rPr>
        <w:t xml:space="preserve">Капітальний ремонт "Встановлення системи бликавкозахисту на б</w:t>
      </w:r>
      <w:r>
        <w:rPr>
          <w:rFonts w:hint="default"/>
          <w:color w:val="auto"/>
        </w:rPr>
        <w:t xml:space="preserve">удівлі Менського опорного  закладу загальної середньої освіти І-ІІІ ступенів ім. Т.Г. Шевченка Менської міської ради Корюківського району Чернігівської області за адресою: Чернігівська область, Корюківський район, м. Мена, вул. Чернігівський шлях, буд. 11"</w:t>
      </w:r>
      <w:r>
        <w:rPr>
          <w:rFonts w:hint="default"/>
          <w:color w:val="auto"/>
          <w:lang w:val="uk-UA"/>
        </w:rPr>
        <w:t xml:space="preserve"> загальною вартістю 1 077 759,00 грн., з них кошти субвенції з дежравного бюджету - 932 183,00 грн., кошти місцевого бюджету на умовах співфінансування - 145 576,00 грн.</w:t>
      </w:r>
      <w:r>
        <w:rPr>
          <w:rFonts w:hint="default"/>
          <w:color w:val="auto"/>
        </w:rPr>
      </w:r>
    </w:p>
    <w:p>
      <w:pPr>
        <w:numPr>
          <w:ilvl w:val="0"/>
          <w:numId w:val="1"/>
        </w:numPr>
        <w:pBdr/>
        <w:spacing/>
        <w:ind w:left="-15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На даний час триває реалізація масштабного проєкту “Нове будівництво протрадіаційного укриття (ПРУ) на території </w:t>
      </w:r>
      <w:r>
        <w:rPr>
          <w:rFonts w:hint="default"/>
          <w:color w:val="auto"/>
          <w:lang w:val="uk-UA"/>
        </w:rPr>
        <w:t xml:space="preserve">Менського опорного ЗЗСО І-ІІІ ст. Ім.Т.Г.Шевченка по вулиці Чернігівський шлях, 11”. Загальна вартість будівництва - 110 288 972,00 грн. Кошти на реалізацію отримано з державного бюджету та місцевого на умовах співфінансування (10% від загальної вартості).</w:t>
      </w:r>
      <w:r>
        <w:rPr>
          <w:rFonts w:hint="default"/>
          <w:color w:val="auto"/>
        </w:rPr>
      </w:r>
    </w:p>
    <w:p>
      <w:pPr>
        <w:numPr>
          <w:ilvl w:val="0"/>
          <w:numId w:val="1"/>
        </w:numPr>
        <w:pBdr/>
        <w:spacing/>
        <w:ind w:firstLine="557" w:left="-15"/>
        <w:rPr>
          <w:color w:val="auto"/>
        </w:rPr>
      </w:pPr>
      <w:r>
        <w:rPr>
          <w:rFonts w:hint="default"/>
          <w:color w:val="auto"/>
          <w:lang w:val="uk-UA"/>
        </w:rPr>
        <w:t xml:space="preserve">Триває реалізація проєкту по створенню сучасного освітнього простору  в рамках Концепції “Нова українська школа”. Заплановано повне он</w:t>
      </w:r>
      <w:r>
        <w:rPr>
          <w:rFonts w:hint="default"/>
          <w:color w:val="auto"/>
          <w:lang w:val="uk-UA"/>
        </w:rPr>
        <w:t xml:space="preserve">овлення природничих лабораторій в закладі освіти. На закупівлю обладнання кошти виділено з державного бюджету 1 777 900,00 грн та місцевого бюджету на умовах співфінансування - 177 790 грн. Ремонт приміщень здійснюється за рахунок коштів місцевого бюджету.</w:t>
      </w:r>
      <w:r>
        <w:rPr>
          <w:color w:val="auto"/>
        </w:rPr>
      </w:r>
    </w:p>
    <w:p>
      <w:pPr>
        <w:numPr>
          <w:ilvl w:val="0"/>
          <w:numId w:val="0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Волосківська філія Дягівської гімназії Менської міської ради: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2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Поточний ремонт мереж зовнішньої каналізації в приміщенні харчоблоку, загальна вартість - 115 227,83 грн.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2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Поточний ремонт аварійної стіни приміщення дошкільного пілрозділу на суму 119 768,91 грн.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0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Стольненська гімназія Менської міської ради: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3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Придбання системи безперебійного живлення у складі із гібридного інвентора та акамуляторної батареї електричної з підігрівом на суму 399 000,00 грн. (кошти ЮНІСЕФ).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0"/>
        </w:numPr>
        <w:pBdr/>
        <w:spacing w:after="3" w:line="249" w:lineRule="auto"/>
        <w:ind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Макошинська гімназія Менської міської ради: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4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Придбання системи безперебійного живлення у складі із гібридного інвентора та акумуляторної батареї електричної з підігрівом на суму 367 480,00 грн (кошти ЮНІСЕФ).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4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Поточний ремонт системи опалення із встановленням частотного перетворювача для живлення 3-х фазного циркуляційного насосу від однофазної генераторної системи живлення на суму 27 277,00 грн. За кошти місцевого бюджету.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0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Блистівська філія Стольненської гімназії Менської міської ради: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5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Поточний ремонт по проведенню заміни димової труби котельні загальною вартістю 165 000,00 грн.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0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Бірківська філія “Сонечко” Стольненського закладу дошкільної освіти “Сонечко” Менської міської ради: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6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Поточний ремонт приміщення найпростішого укриття Бірківської філії КЗ “Менський будинок культури” на суму 60 000,00 грн.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0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Киселівська філія “Веселка” Менського закладу дошкільної освіти (ясла-садок) “Сонечко” комбінованого типу Менської міської ради: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7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Проведення поточног оремонту покрівлі приміщення закладу освіти загальною вартістю 59 120,00 грн.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0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Макошинський заклад дошкільної освіти “Сонечко” Менської міської ради: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8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Придбання посудомийної машина вартістю 99 112,50 грн.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8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Обладнання для кухні на суму 107 120,00 грн. (надхоження від БО БФ “Жовто-блакитні крила”).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8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Придбання системи безперебійного живлення у складі гібридного низьковольтного трохфазного інвентора та акумуляторної батареї електричної з підігрівом вартістю 367 483,00 грн. (кошти ЮНІСЕФ).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8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Заміна вікон в приміщенні закладу на енергоефективні вартістю 16 632,00 грн. (кошти ЮНІСЕФ).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0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Менський заклад дошкільної освіти (ясла-садок) “Сонечко” комбінованого типу Менської міської ради: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9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Проведення поточного ремонту з укладанням лінолеуму в найпростішому укритті закладу загальною вартістю 153 000,00 грн.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9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Придбання системи безперебійного живлення у складі гібридного низьковольтного трохфазного інвентора та акумуляторної батареї електричної з підігрівом вартістю 419 520,00 грн. (кошти ЮНІСЕФ).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0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Менський заклад дошкільної освіти (ясла-садок) “Дитяча академія” комбінованого типу Менської міської ради: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10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Придбання системи безперебійного живлення у складі гібридного низьковольтного трохфазного інвентора та акумуляторної батареї електричної з підігрівом вартістю 367 483,00 грн. (кошти ЮНІСЕФ).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10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Отримано конструктор та м’які меблі від ГО “Добрі ініціативи Менщини” на суму 151 071,00 грн. (в рамках облаштування ресурсної кімнати в закладі освіти).</w:t>
      </w:r>
      <w:r>
        <w:rPr>
          <w:rFonts w:hint="default"/>
          <w:color w:val="auto"/>
          <w:lang w:val="uk-UA"/>
        </w:rPr>
      </w:r>
    </w:p>
    <w:p>
      <w:pPr>
        <w:numPr>
          <w:ilvl w:val="0"/>
          <w:numId w:val="0"/>
        </w:numPr>
        <w:pBdr/>
        <w:spacing w:after="3" w:line="249" w:lineRule="auto"/>
        <w:ind w:firstLine="560" w:left="0"/>
        <w:jc w:val="both"/>
        <w:rPr>
          <w:rFonts w:hint="default"/>
          <w:color w:val="auto"/>
        </w:rPr>
      </w:pPr>
      <w:r>
        <w:rPr>
          <w:rFonts w:hint="default"/>
          <w:color w:val="auto"/>
          <w:lang w:val="uk-UA"/>
        </w:rPr>
        <w:t xml:space="preserve">До початку 2026/2027 навчального року заклади загальної середньої освіти отримали ігрові набори LEGO Play Box від Управління освіти і науки Чернігівської ОДА. Також заклади освіти громади отримали к</w:t>
      </w:r>
      <w:r>
        <w:rPr>
          <w:rFonts w:hint="default" w:ascii="Times New Roman" w:hAnsi="Times New Roman" w:eastAsia="SimSun" w:cs="Times New Roman"/>
          <w:color w:val="auto"/>
          <w:sz w:val="28"/>
          <w:szCs w:val="28"/>
        </w:rPr>
        <w:t xml:space="preserve">овдри напіввовняної, набору посуду та ін. від Чернігівської обласної організації Товариство Червоного Хреста України</w:t>
      </w:r>
      <w:r>
        <w:rPr>
          <w:rFonts w:hint="default" w:ascii="Times New Roman" w:hAnsi="Times New Roman" w:eastAsia="SimSun" w:cs="Times New Roman"/>
          <w:color w:val="auto"/>
          <w:sz w:val="28"/>
          <w:szCs w:val="28"/>
          <w:lang w:val="uk-UA"/>
        </w:rPr>
        <w:t xml:space="preserve">.</w:t>
      </w:r>
      <w:r>
        <w:rPr>
          <w:rFonts w:hint="default"/>
          <w:color w:val="auto"/>
          <w:lang w:val="uk-UA"/>
        </w:rPr>
      </w:r>
    </w:p>
    <w:p>
      <w:pPr>
        <w:pBdr/>
        <w:spacing/>
        <w:ind w:firstLine="542" w:left="0"/>
        <w:rPr>
          <w:color w:val="auto"/>
        </w:rPr>
      </w:pPr>
      <w:r>
        <w:rPr>
          <w:color w:val="auto"/>
          <w:lang w:val="uk-UA"/>
        </w:rPr>
        <w:t xml:space="preserve">У</w:t>
      </w:r>
      <w:r>
        <w:rPr>
          <w:color w:val="auto"/>
        </w:rPr>
        <w:t xml:space="preserve"> закладах освіти </w:t>
      </w:r>
      <w:r>
        <w:rPr>
          <w:color w:val="auto"/>
          <w:lang w:val="uk-UA"/>
        </w:rPr>
        <w:t xml:space="preserve">Менської</w:t>
      </w:r>
      <w:r>
        <w:rPr>
          <w:rFonts w:hint="default"/>
          <w:color w:val="auto"/>
          <w:lang w:val="uk-UA"/>
        </w:rPr>
        <w:t xml:space="preserve"> громади </w:t>
      </w:r>
      <w:r>
        <w:rPr>
          <w:color w:val="auto"/>
        </w:rPr>
        <w:t xml:space="preserve">проведено повірку вогнегасників відповідно до вимог пожежної безпеки.</w:t>
      </w:r>
      <w:r>
        <w:rPr>
          <w:color w:val="auto"/>
        </w:rPr>
      </w:r>
    </w:p>
    <w:p>
      <w:pPr>
        <w:pBdr/>
        <w:spacing/>
        <w:ind w:firstLine="708" w:left="0"/>
        <w:rPr>
          <w:color w:val="auto"/>
        </w:rPr>
      </w:pPr>
      <w:r>
        <w:rPr>
          <w:color w:val="auto"/>
        </w:rPr>
        <w:t xml:space="preserve">З метою належної підготовки до опалювального сезону 202</w:t>
      </w:r>
      <w:r>
        <w:rPr>
          <w:rFonts w:hint="default"/>
          <w:color w:val="auto"/>
          <w:lang w:val="uk-UA"/>
        </w:rPr>
        <w:t xml:space="preserve">6</w:t>
      </w:r>
      <w:r>
        <w:rPr>
          <w:color w:val="auto"/>
        </w:rPr>
        <w:t xml:space="preserve">-202</w:t>
      </w:r>
      <w:r>
        <w:rPr>
          <w:rFonts w:hint="default"/>
          <w:color w:val="auto"/>
          <w:lang w:val="uk-UA"/>
        </w:rPr>
        <w:t xml:space="preserve">7</w:t>
      </w:r>
      <w:r>
        <w:rPr>
          <w:color w:val="auto"/>
        </w:rPr>
        <w:t xml:space="preserve"> років здійснюється  технічн</w:t>
      </w:r>
      <w:r>
        <w:rPr>
          <w:color w:val="auto"/>
          <w:lang w:val="uk-UA"/>
        </w:rPr>
        <w:t xml:space="preserve">у</w:t>
      </w:r>
      <w:r>
        <w:rPr>
          <w:color w:val="auto"/>
        </w:rPr>
        <w:t xml:space="preserve"> перевірк</w:t>
      </w:r>
      <w:r>
        <w:rPr>
          <w:color w:val="auto"/>
          <w:lang w:val="uk-UA"/>
        </w:rPr>
        <w:t xml:space="preserve">у</w:t>
      </w:r>
      <w:r>
        <w:rPr>
          <w:rFonts w:hint="default"/>
          <w:color w:val="auto"/>
          <w:lang w:val="uk-UA"/>
        </w:rPr>
        <w:t xml:space="preserve"> </w:t>
      </w:r>
      <w:r>
        <w:rPr>
          <w:color w:val="auto"/>
        </w:rPr>
        <w:t xml:space="preserve">манометр</w:t>
      </w:r>
      <w:r>
        <w:rPr>
          <w:color w:val="auto"/>
          <w:lang w:val="uk-UA"/>
        </w:rPr>
        <w:t xml:space="preserve">ів</w:t>
      </w:r>
      <w:r>
        <w:rPr>
          <w:rFonts w:hint="default"/>
          <w:color w:val="auto"/>
          <w:lang w:val="uk-UA"/>
        </w:rPr>
        <w:t xml:space="preserve">, </w:t>
      </w:r>
      <w:r>
        <w:rPr>
          <w:color w:val="auto"/>
        </w:rPr>
        <w:t xml:space="preserve">термометр</w:t>
      </w:r>
      <w:r>
        <w:rPr>
          <w:color w:val="auto"/>
          <w:lang w:val="uk-UA"/>
        </w:rPr>
        <w:t xml:space="preserve">ів</w:t>
      </w:r>
      <w:r>
        <w:rPr>
          <w:rFonts w:hint="default"/>
          <w:color w:val="auto"/>
          <w:lang w:val="uk-UA"/>
        </w:rPr>
        <w:t xml:space="preserve">, </w:t>
      </w:r>
      <w:r>
        <w:rPr>
          <w:color w:val="auto"/>
        </w:rPr>
        <w:t xml:space="preserve">сигналізатори газу.</w:t>
      </w:r>
      <w:r>
        <w:rPr>
          <w:color w:val="auto"/>
        </w:rPr>
      </w:r>
    </w:p>
    <w:p>
      <w:pPr>
        <w:pBdr/>
        <w:spacing/>
        <w:ind w:firstLine="542" w:left="0"/>
        <w:rPr>
          <w:color w:val="auto"/>
        </w:rPr>
      </w:pPr>
      <w:r>
        <w:rPr>
          <w:color w:val="auto"/>
        </w:rPr>
        <w:t xml:space="preserve">В усіх закладах освіти зроблені косметичні ремонти в межах власних (бюджетних) фінансових можливостей.</w:t>
      </w:r>
      <w:r>
        <w:rPr>
          <w:color w:val="auto"/>
        </w:rPr>
      </w:r>
    </w:p>
    <w:p>
      <w:pPr>
        <w:pBdr/>
        <w:spacing/>
        <w:ind w:left="-15"/>
        <w:rPr>
          <w:color w:val="auto"/>
        </w:rPr>
      </w:pPr>
      <w:r>
        <w:rPr>
          <w:color w:val="auto"/>
        </w:rPr>
        <w:t xml:space="preserve">Організація освіт</w:t>
      </w:r>
      <w:r>
        <w:rPr>
          <w:color w:val="auto"/>
        </w:rPr>
        <w:t xml:space="preserve">нього процесу залежить від безпекової ситуації в кожному населеному пункті. Структура і тривалість навчального тижня, навчального дня, занять, відпочинку між ними, форми організації освітнього процесу визначається педагогічною радою закладу освіти в межах </w:t>
      </w:r>
      <w:r>
        <w:rPr>
          <w:color w:val="auto"/>
        </w:rPr>
        <w:t xml:space="preserve">часу, передбаченого освітньою програмою, відповідно до обсягу навчального навантаження, встановленого навчальним планом, та з урахуванням вікових особливостей, фізичного, психічного та інтелектуального розвитку здобувачів освіти, особливостей регіону тощо.</w:t>
      </w:r>
      <w:r>
        <w:rPr>
          <w:color w:val="auto"/>
        </w:rPr>
      </w:r>
    </w:p>
    <w:p>
      <w:pPr>
        <w:pBdr/>
        <w:spacing/>
        <w:ind w:left="-15"/>
        <w:rPr>
          <w:color w:val="auto"/>
        </w:rPr>
      </w:pPr>
      <w:r>
        <w:rPr>
          <w:color w:val="auto"/>
        </w:rPr>
        <w:t xml:space="preserve">До початку навчального року заклади освіти на педагогічних радах, враховуючи безпекову ситуацію, результати опитування батьків приймають рішення - за якою з формою організації освітнього процесу буде здійснюватися навчання з 01 вересня 202</w:t>
      </w:r>
      <w:r>
        <w:rPr>
          <w:rFonts w:hint="default"/>
          <w:color w:val="auto"/>
          <w:lang w:val="uk-UA"/>
        </w:rPr>
        <w:t xml:space="preserve">6</w:t>
      </w:r>
      <w:r>
        <w:rPr>
          <w:color w:val="auto"/>
        </w:rPr>
        <w:t xml:space="preserve"> року (це може бути </w:t>
      </w:r>
      <w:r>
        <w:rPr>
          <w:color w:val="auto"/>
          <w:lang w:val="uk-UA"/>
        </w:rPr>
        <w:t xml:space="preserve">очна</w:t>
      </w:r>
      <w:r>
        <w:rPr>
          <w:rFonts w:hint="default"/>
          <w:color w:val="auto"/>
          <w:lang w:val="uk-UA"/>
        </w:rPr>
        <w:t xml:space="preserve"> чи дистанційна форма навчання, змішаний формат - очно-дистанційна форма</w:t>
      </w:r>
      <w:r>
        <w:rPr>
          <w:color w:val="auto"/>
        </w:rPr>
        <w:t xml:space="preserve">). При цьому освітній процес у початковій школі бажано проводити за очною формою (згідно рекомендацій МОН, враховуючи необхідність соціалізації дітей).</w:t>
      </w:r>
      <w:r>
        <w:rPr>
          <w:color w:val="auto"/>
        </w:rPr>
      </w:r>
    </w:p>
    <w:p>
      <w:pPr>
        <w:pBdr/>
        <w:spacing w:after="631"/>
        <w:ind w:firstLine="709" w:left="-15"/>
        <w:rPr>
          <w:color w:val="auto"/>
        </w:rPr>
      </w:pPr>
      <w:r>
        <w:rPr>
          <w:color w:val="auto"/>
        </w:rPr>
        <w:t xml:space="preserve">Розпорядженням секретаря ради створено комісію з обстеження закладів освіти на предмет готовності до організації навчання та забезпечення безпеки учасників освітнього процесу у 202</w:t>
      </w:r>
      <w:r>
        <w:rPr>
          <w:rFonts w:hint="default"/>
          <w:color w:val="auto"/>
          <w:lang w:val="uk-UA"/>
        </w:rPr>
        <w:t xml:space="preserve">6</w:t>
      </w:r>
      <w:r>
        <w:rPr>
          <w:color w:val="auto"/>
        </w:rPr>
        <w:t xml:space="preserve">/202</w:t>
      </w:r>
      <w:r>
        <w:rPr>
          <w:rFonts w:hint="default"/>
          <w:color w:val="auto"/>
          <w:lang w:val="uk-UA"/>
        </w:rPr>
        <w:t xml:space="preserve">7</w:t>
      </w:r>
      <w:r>
        <w:rPr>
          <w:color w:val="auto"/>
        </w:rPr>
        <w:t xml:space="preserve"> навчальному році. За результатами роботи комісії готуються акти відповідної форми, які відображають стан справ у закладах освіти.</w:t>
      </w:r>
      <w:r>
        <w:rPr>
          <w:color w:val="auto"/>
        </w:rPr>
      </w:r>
    </w:p>
    <w:p>
      <w:pPr>
        <w:pBdr/>
        <w:spacing/>
        <w:ind w:firstLine="0" w:left="-15"/>
        <w:rPr>
          <w:color w:val="auto"/>
        </w:rPr>
      </w:pPr>
      <w:r>
        <w:rPr>
          <w:color w:val="auto"/>
        </w:rPr>
        <w:t xml:space="preserve">Начальник Відділу освіти</w:t>
      </w:r>
      <w:r>
        <w:rPr>
          <w:color w:val="auto"/>
        </w:rPr>
      </w:r>
    </w:p>
    <w:p>
      <w:pPr>
        <w:pBdr/>
        <w:tabs>
          <w:tab w:val="right" w:leader="none" w:pos="9639"/>
        </w:tabs>
        <w:spacing/>
        <w:ind w:firstLine="0" w:left="-15"/>
        <w:jc w:val="left"/>
        <w:rPr>
          <w:color w:val="auto"/>
        </w:rPr>
      </w:pPr>
      <w:r>
        <w:rPr>
          <w:color w:val="auto"/>
        </w:rPr>
        <w:t xml:space="preserve">Менської міської ради</w:t>
      </w:r>
      <w:r>
        <w:rPr>
          <w:color w:val="auto"/>
        </w:rPr>
        <w:tab/>
      </w:r>
      <w:r>
        <w:rPr>
          <w:color w:val="auto"/>
        </w:rPr>
        <w:t xml:space="preserve">Ірина ЛУК’ЯНЕНКО</w:t>
      </w:r>
      <w:r>
        <w:rPr>
          <w:color w:val="auto"/>
        </w:rPr>
      </w:r>
    </w:p>
    <w:sectPr>
      <w:footnotePr/>
      <w:endnotePr/>
      <w:type w:val="nextPage"/>
      <w:pgSz w:h="16838" w:orient="portrait" w:w="11906"/>
      <w:pgMar w:top="758" w:right="566" w:bottom="1216" w:left="1701" w:header="708" w:footer="708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SimSun">
    <w:panose1 w:val="0202060302010102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49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49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42EC831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A401F26D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AC5306E8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B83AE504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C9EEAFDB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F4B6144F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">
    <w:nsid w:val="25F93B26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7">
    <w:nsid w:val="3C3E6283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8">
    <w:nsid w:val="6B7090A1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9">
    <w:nsid w:val="7D16EC4E"/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space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doNotExpandShiftReturn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21"/>
    <w:next w:val="72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21"/>
    <w:next w:val="72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1"/>
    <w:next w:val="72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1"/>
    <w:next w:val="72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1"/>
    <w:next w:val="72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1"/>
    <w:next w:val="72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1"/>
    <w:next w:val="72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1"/>
    <w:next w:val="72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1"/>
    <w:next w:val="72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2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2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2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2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2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2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2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1"/>
    <w:next w:val="72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22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1"/>
    <w:next w:val="72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22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1"/>
    <w:next w:val="72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22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2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1"/>
    <w:next w:val="72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22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2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2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2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22"/>
    <w:link w:val="176"/>
    <w:uiPriority w:val="99"/>
    <w:pPr>
      <w:pBdr/>
      <w:spacing/>
      <w:ind/>
    </w:pPr>
  </w:style>
  <w:style w:type="paragraph" w:styleId="178">
    <w:name w:val="Footer"/>
    <w:basedOn w:val="72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22"/>
    <w:link w:val="178"/>
    <w:uiPriority w:val="99"/>
    <w:pPr>
      <w:pBdr/>
      <w:spacing/>
      <w:ind/>
    </w:pPr>
  </w:style>
  <w:style w:type="paragraph" w:styleId="180">
    <w:name w:val="Caption"/>
    <w:basedOn w:val="721"/>
    <w:next w:val="72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2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2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1"/>
    <w:next w:val="721"/>
    <w:uiPriority w:val="39"/>
    <w:unhideWhenUsed/>
    <w:pPr>
      <w:pBdr/>
      <w:spacing w:after="100"/>
      <w:ind/>
    </w:pPr>
  </w:style>
  <w:style w:type="paragraph" w:styleId="190">
    <w:name w:val="toc 2"/>
    <w:basedOn w:val="721"/>
    <w:next w:val="721"/>
    <w:uiPriority w:val="39"/>
    <w:unhideWhenUsed/>
    <w:pPr>
      <w:pBdr/>
      <w:spacing w:after="100"/>
      <w:ind w:left="220"/>
    </w:pPr>
  </w:style>
  <w:style w:type="paragraph" w:styleId="191">
    <w:name w:val="toc 3"/>
    <w:basedOn w:val="721"/>
    <w:next w:val="721"/>
    <w:uiPriority w:val="39"/>
    <w:unhideWhenUsed/>
    <w:pPr>
      <w:pBdr/>
      <w:spacing w:after="100"/>
      <w:ind w:left="440"/>
    </w:pPr>
  </w:style>
  <w:style w:type="paragraph" w:styleId="192">
    <w:name w:val="toc 4"/>
    <w:basedOn w:val="721"/>
    <w:next w:val="721"/>
    <w:uiPriority w:val="39"/>
    <w:unhideWhenUsed/>
    <w:pPr>
      <w:pBdr/>
      <w:spacing w:after="100"/>
      <w:ind w:left="660"/>
    </w:pPr>
  </w:style>
  <w:style w:type="paragraph" w:styleId="193">
    <w:name w:val="toc 5"/>
    <w:basedOn w:val="721"/>
    <w:next w:val="721"/>
    <w:uiPriority w:val="39"/>
    <w:unhideWhenUsed/>
    <w:pPr>
      <w:pBdr/>
      <w:spacing w:after="100"/>
      <w:ind w:left="880"/>
    </w:pPr>
  </w:style>
  <w:style w:type="paragraph" w:styleId="194">
    <w:name w:val="toc 6"/>
    <w:basedOn w:val="721"/>
    <w:next w:val="721"/>
    <w:uiPriority w:val="39"/>
    <w:unhideWhenUsed/>
    <w:pPr>
      <w:pBdr/>
      <w:spacing w:after="100"/>
      <w:ind w:left="1100"/>
    </w:pPr>
  </w:style>
  <w:style w:type="paragraph" w:styleId="195">
    <w:name w:val="toc 7"/>
    <w:basedOn w:val="721"/>
    <w:next w:val="721"/>
    <w:uiPriority w:val="39"/>
    <w:unhideWhenUsed/>
    <w:pPr>
      <w:pBdr/>
      <w:spacing w:after="100"/>
      <w:ind w:left="1320"/>
    </w:pPr>
  </w:style>
  <w:style w:type="paragraph" w:styleId="196">
    <w:name w:val="toc 8"/>
    <w:basedOn w:val="721"/>
    <w:next w:val="721"/>
    <w:uiPriority w:val="39"/>
    <w:unhideWhenUsed/>
    <w:pPr>
      <w:pBdr/>
      <w:spacing w:after="100"/>
      <w:ind w:left="1540"/>
    </w:pPr>
  </w:style>
  <w:style w:type="paragraph" w:styleId="197">
    <w:name w:val="toc 9"/>
    <w:basedOn w:val="721"/>
    <w:next w:val="72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2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1"/>
    <w:next w:val="721"/>
    <w:uiPriority w:val="99"/>
    <w:unhideWhenUsed/>
    <w:pPr>
      <w:pBdr/>
      <w:spacing w:after="0" w:afterAutospacing="0"/>
      <w:ind/>
    </w:pPr>
  </w:style>
  <w:style w:type="paragraph" w:styleId="721" w:default="1">
    <w:name w:val="Normal"/>
    <w:uiPriority w:val="0"/>
    <w:qFormat/>
    <w:pPr>
      <w:pBdr/>
      <w:spacing w:after="3" w:line="249" w:lineRule="auto"/>
      <w:ind w:firstLine="557" w:left="2695"/>
      <w:jc w:val="both"/>
    </w:pPr>
    <w:rPr>
      <w:rFonts w:ascii="Times New Roman" w:hAnsi="Times New Roman" w:eastAsia="Times New Roman" w:cs="Times New Roman"/>
      <w:color w:val="000000"/>
      <w:sz w:val="28"/>
      <w:szCs w:val="22"/>
      <w:lang w:val="uk-UA" w:eastAsia="uk-UA" w:bidi="ar-SA"/>
    </w:rPr>
  </w:style>
  <w:style w:type="character" w:styleId="722" w:default="1">
    <w:name w:val="Default Paragraph Font"/>
    <w:uiPriority w:val="1"/>
    <w:semiHidden/>
    <w:unhideWhenUsed/>
    <w:qFormat/>
    <w:pPr>
      <w:pBdr/>
      <w:spacing/>
      <w:ind/>
    </w:pPr>
  </w:style>
  <w:style w:type="table" w:styleId="723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24">
    <w:name w:val="Balloon Text"/>
    <w:basedOn w:val="721"/>
    <w:link w:val="727"/>
    <w:uiPriority w:val="99"/>
    <w:semiHidden/>
    <w:unhideWhenUsed/>
    <w:qFormat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paragraph" w:styleId="725">
    <w:name w:val="Normal (Web)"/>
    <w:uiPriority w:val="99"/>
    <w:semiHidden/>
    <w:unhideWhenUsed/>
    <w:qFormat/>
    <w:pPr>
      <w:pBdr/>
      <w:spacing w:after="0" w:afterAutospacing="1" w:before="0" w:beforeAutospacing="1"/>
      <w:ind w:right="0" w:left="0"/>
      <w:jc w:val="left"/>
    </w:pPr>
    <w:rPr>
      <w:rFonts w:ascii="Times New Roman" w:hAnsi="Times New Roman" w:eastAsia="SimSun" w:cs="Times New Roman"/>
      <w:sz w:val="24"/>
      <w:szCs w:val="24"/>
      <w:lang w:val="en-US" w:eastAsia="zh-CN" w:bidi="ar"/>
    </w:rPr>
  </w:style>
  <w:style w:type="paragraph" w:styleId="726">
    <w:name w:val="List Paragraph"/>
    <w:basedOn w:val="721"/>
    <w:uiPriority w:val="34"/>
    <w:qFormat/>
    <w:pPr>
      <w:pBdr/>
      <w:spacing/>
      <w:ind w:left="720"/>
      <w:contextualSpacing w:val="true"/>
    </w:pPr>
  </w:style>
  <w:style w:type="character" w:styleId="727" w:customStyle="1">
    <w:name w:val="Текст у виносці Знак"/>
    <w:basedOn w:val="722"/>
    <w:link w:val="724"/>
    <w:uiPriority w:val="99"/>
    <w:semiHidden/>
    <w:qFormat/>
    <w:pPr>
      <w:pBdr/>
      <w:spacing/>
      <w:ind/>
    </w:pPr>
    <w:rPr>
      <w:rFonts w:ascii="Segoe UI" w:hAnsi="Segoe UI" w:eastAsia="Times New Roman" w:cs="Segoe UI"/>
      <w:color w:val="000000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СТАРОДУБ Людмила Олександрівна</cp:lastModifiedBy>
  <cp:revision>15</cp:revision>
  <dcterms:created xsi:type="dcterms:W3CDTF">2025-08-13T11:11:00Z</dcterms:created>
  <dcterms:modified xsi:type="dcterms:W3CDTF">2026-09-01T06:17:33Z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5CC79182517F404491D90F76839DA695_13</vt:lpwstr>
  </property>
</Properties>
</file>