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3792"/>
        </w:tabs>
        <w:spacing/>
        <w:ind w:right="2" w:left="5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3792"/>
        </w:tabs>
        <w:spacing/>
        <w:ind w:right="2" w:left="5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Менської міської ради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3792"/>
        </w:tabs>
        <w:spacing/>
        <w:ind w:right="2" w:left="5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 серпня 202</w:t>
      </w:r>
      <w:r>
        <w:rPr>
          <w:sz w:val="28"/>
          <w:szCs w:val="28"/>
          <w:lang w:val="uk-UA"/>
        </w:rPr>
        <w:t xml:space="preserve">6</w:t>
      </w:r>
      <w:r>
        <w:rPr>
          <w:sz w:val="28"/>
          <w:szCs w:val="28"/>
        </w:rPr>
        <w:t xml:space="preserve"> року № </w:t>
      </w:r>
      <w:r>
        <w:rPr>
          <w:sz w:val="28"/>
          <w:szCs w:val="28"/>
          <w:lang w:val="uk-UA"/>
        </w:rPr>
        <w:t xml:space="preserve">167</w:t>
      </w:r>
      <w:r>
        <w:rPr>
          <w:sz w:val="28"/>
          <w:szCs w:val="28"/>
          <w:lang w:val="uk-UA"/>
        </w:rPr>
      </w:r>
      <w:r>
        <w:rPr>
          <w:sz w:val="28"/>
          <w:szCs w:val="28"/>
        </w:rPr>
      </w:r>
    </w:p>
    <w:p>
      <w:pPr>
        <w:widowControl w:val="true"/>
        <w:pBdr/>
        <w:spacing w:after="20" w:before="20"/>
        <w:ind w:left="609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Середньостроковий план пріоритетних публічних інвестицій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widowControl w:val="true"/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Менської міської територіальної громади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widowControl w:val="true"/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2027 – 2029 роки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widowControl w:val="true"/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widowControl w:val="true"/>
        <w:pBdr/>
        <w:spacing w:after="160" w:line="259" w:lineRule="auto"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Загальна частина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widowControl w:val="true"/>
        <w:pBdr/>
        <w:spacing/>
        <w:ind w:firstLine="567"/>
        <w:jc w:val="both"/>
        <w:rPr>
          <w:rFonts w:ascii="Calibri" w:hAnsi="Calibri" w:eastAsia="Calibri" w:cs="Calibri"/>
        </w:rPr>
      </w:pPr>
      <w:r>
        <w:rPr>
          <w:sz w:val="28"/>
          <w:szCs w:val="28"/>
        </w:rPr>
        <w:t xml:space="preserve">Середньостроковий план пріоритетних публічних інвестицій Менської міської територіальної громади на 2027–2029 роки (далі — Середньостроковий план) розроблено відповідно до абзацу другого частини третьої статті 33</w:t>
      </w:r>
      <w:r>
        <w:rPr>
          <w:sz w:val="28"/>
          <w:szCs w:val="28"/>
          <w:vertAlign w:val="superscript"/>
        </w:rPr>
        <w:t xml:space="preserve">1</w:t>
      </w:r>
      <w:r>
        <w:rPr>
          <w:sz w:val="28"/>
          <w:szCs w:val="28"/>
        </w:rPr>
        <w:t xml:space="preserve"> Бюджетного кодексу України та Порядку розроблення та моніторингу реалізації середньострокового плану пріоритетних публічних інвестицій держави, затвердженого постановою Кабінету Міністрів України від 28 лютого 2025 року № 294 зі змінами</w:t>
      </w:r>
      <w:r>
        <w:rPr>
          <w:rFonts w:ascii="Calibri" w:hAnsi="Calibri" w:eastAsia="Calibri" w:cs="Calibri"/>
        </w:rPr>
        <w:t xml:space="preserve">.</w:t>
      </w: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>
      <w:pPr>
        <w:widowControl w:val="true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Розроблення Середньострокового плану здійснюється в рамках впровадження реформи управління публічними інвестиціями в Україні, спрямованої на підвищення ефек</w:t>
      </w:r>
      <w:r>
        <w:rPr>
          <w:sz w:val="28"/>
          <w:szCs w:val="28"/>
        </w:rPr>
        <w:t xml:space="preserve">тивності використання бюджетних ресурсів, забезпечення прозорості прийняття інвестиційних рішень, посилення зв’язку між стратегічним та бюджетним плануванням, а також концентрацію фінансових ресурсів на найбільш важливих для розвитку територіальних громад </w:t>
      </w:r>
      <w:r>
        <w:rPr>
          <w:sz w:val="28"/>
          <w:szCs w:val="28"/>
        </w:rPr>
        <w:t xml:space="preserve">проєктах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Середньостроковий план є інстру</w:t>
      </w:r>
      <w:r>
        <w:rPr>
          <w:sz w:val="28"/>
          <w:szCs w:val="28"/>
        </w:rPr>
        <w:t xml:space="preserve">ментом планування та визначає пріоритетні напрями публічного інвестування Менської міської територіальної громади на 2027–2029 роки, забезпечуючи узгодження інвестиційних потреб громади із стратегічними цілями її розвитку та наявними фінансовими ресурсами.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Основними завданнями Середньострокового плану є: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визначення стратегічних пріоритетів публічного інвестування в громаді;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визначення пріоритетних галузей (секторів) інвестування відповідно до Стратегії розвитку Менської міської територіальної громади та інших документів місцевого планування;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формування узгодженого переліку пріоритетних інвестиційних програм і </w:t>
      </w:r>
      <w:r>
        <w:rPr>
          <w:sz w:val="28"/>
          <w:szCs w:val="28"/>
        </w:rPr>
        <w:t xml:space="preserve">проєктів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забезпечення взаємозв’язку між стратегічним, інвестиційним та бюджетним плануванням;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орієнтовний розподіл фінансових ресурсів за напрямами інвестування та джерелами фінансування;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підвищення ефективності використання коштів місцевого бюджету, державної підтримки та міжнародної допомоги.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Визначення пріоритетних напрямів публічного інвестування здійснюється на основі аналізу соціально-економічного стану громади, потреб відновлення та розвитку інфраструктури, необхідності забезпечення належного рівня публічних </w:t>
      </w:r>
      <w:r>
        <w:rPr>
          <w:sz w:val="28"/>
          <w:szCs w:val="28"/>
        </w:rPr>
        <w:t xml:space="preserve">послуг, а також з урахуванням цілей і завдань Стратегії розвитку Менської міської територіальної громади.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tabs>
          <w:tab w:val="left" w:leader="none" w:pos="1007"/>
        </w:tabs>
        <w:spacing/>
        <w:ind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Описова частина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widowControl w:val="true"/>
        <w:pBdr/>
        <w: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Середньостроковий план пріоритетних публічних інвестицій Менської міської територіальної громади на 2027–2029 роки розроблено відділом міжнародного співробітництва та економічного розвитку Менської міської ради на підс</w:t>
      </w:r>
      <w:r>
        <w:rPr>
          <w:sz w:val="28"/>
          <w:szCs w:val="28"/>
        </w:rPr>
        <w:t xml:space="preserve">таві пропозицій від секторальних структурних підрозділів Менської міської ради відповідно до цілей і завдань, визначених Стратегією розвитку Менської міської територіальної громади на період до 2027 року та Планом заходів з її реалізації на 2025–2027 роки.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Середньострок</w:t>
      </w:r>
      <w:r>
        <w:rPr>
          <w:sz w:val="28"/>
          <w:szCs w:val="28"/>
        </w:rPr>
        <w:t xml:space="preserve">овий план пріоритетних публічних інвестицій 2027–2029 структуровано відповідно до оновленої логіки системи управління публічними інвестиціями та включає визначення наскрізних стратегічних цілей, пріоритетних галузей (секторів) для публічного інвестування, </w:t>
      </w:r>
      <w:r>
        <w:rPr>
          <w:sz w:val="28"/>
          <w:szCs w:val="28"/>
        </w:rPr>
        <w:t xml:space="preserve">підсекторів</w:t>
      </w:r>
      <w:r>
        <w:rPr>
          <w:sz w:val="28"/>
          <w:szCs w:val="28"/>
        </w:rPr>
        <w:t xml:space="preserve"> галузей (секторів) для публічного інвестування, основних напрямів публічно</w:t>
      </w:r>
      <w:r>
        <w:rPr>
          <w:sz w:val="28"/>
          <w:szCs w:val="28"/>
        </w:rPr>
        <w:t xml:space="preserve">го інвестування, у тому числі за діючими проектами та програмами (за наявності), цільових показників напрямів публічного інвестування, орієнтовний розподіл коштів за рахунок усіх джерел фінансування в розрізі галузей (секторів) для публічного інвестування.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spacing/>
        <w:ind w:left="564"/>
        <w:jc w:val="center"/>
        <w:rPr>
          <w:sz w:val="24"/>
          <w:szCs w:val="24"/>
        </w:rPr>
      </w:pPr>
      <w:r>
        <w:rPr>
          <w:i/>
          <w:iCs/>
          <w:sz w:val="28"/>
          <w:szCs w:val="28"/>
        </w:rPr>
        <w:t xml:space="preserve">Наскрізні стратегічні цілі здійснення публічних інвестицій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pBdr/>
        <w:spacing/>
        <w:ind w:right="286" w:firstLine="709" w:left="143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На 2027-2029 роки наскрізними стратегічними цілями є енергоефективність, </w:t>
      </w:r>
      <w:r>
        <w:rPr>
          <w:sz w:val="28"/>
          <w:szCs w:val="28"/>
        </w:rPr>
        <w:t xml:space="preserve">цифровізація</w:t>
      </w:r>
      <w:r>
        <w:rPr>
          <w:sz w:val="28"/>
          <w:szCs w:val="28"/>
        </w:rPr>
        <w:t xml:space="preserve">, реагування на зміни клімату, гендерна рівність та </w:t>
      </w:r>
      <w:r>
        <w:rPr>
          <w:sz w:val="28"/>
          <w:szCs w:val="28"/>
        </w:rPr>
        <w:t xml:space="preserve">безбар’єрність</w:t>
      </w:r>
      <w:r>
        <w:rPr>
          <w:sz w:val="28"/>
          <w:szCs w:val="28"/>
        </w:rPr>
        <w:t xml:space="preserve"> (у разі можливості їх застосування).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pBdr/>
        <w:spacing/>
        <w:ind w:right="286" w:firstLine="709" w:left="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Реалізація цих цілей є фундаментальною умово</w:t>
      </w:r>
      <w:r>
        <w:rPr>
          <w:sz w:val="28"/>
          <w:szCs w:val="28"/>
        </w:rPr>
        <w:t xml:space="preserve">ю сталого розвитку та зміцнення соціальної справедливості. Вона передбачає перехід до раціональної моделі енергоспоживання, цифрову трансформацію управлінських процесів та адаптацію інфраструктури до кліматичних змін. Особлива увага приділяється створенню </w:t>
      </w:r>
      <w:r>
        <w:rPr>
          <w:sz w:val="28"/>
          <w:szCs w:val="28"/>
        </w:rPr>
        <w:t xml:space="preserve">безбар’єрного</w:t>
      </w:r>
      <w:r>
        <w:rPr>
          <w:sz w:val="28"/>
          <w:szCs w:val="28"/>
        </w:rPr>
        <w:t xml:space="preserve"> простору, де принципи універсального дизайну та рівності прав гарантують безперешкодний доступ до послуг для всіх верств населення, зокрема осіб з інвалідністю та інших маломобільних груп населення, незалежно від їхньої статі чи соціального статусу.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spacing/>
        <w:ind w:right="286" w:firstLine="709" w:left="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Активна громадськість бере участь у житті громади - модернізація управлінських процесів, </w:t>
      </w:r>
      <w:r>
        <w:rPr>
          <w:sz w:val="28"/>
          <w:szCs w:val="28"/>
        </w:rPr>
        <w:t xml:space="preserve">цифровізація</w:t>
      </w:r>
      <w:r>
        <w:rPr>
          <w:sz w:val="28"/>
          <w:szCs w:val="28"/>
        </w:rPr>
        <w:t xml:space="preserve"> сервісів, розширення доступу до освіти, медицини, адміністративних та соціальних послуг, залучення громадськості до прийняття рішень.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spacing/>
        <w:ind w:right="286" w:firstLine="709" w:left="143"/>
        <w:jc w:val="both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</w:r>
      <w:r>
        <w:rPr>
          <w:color w:val="ee0000"/>
          <w:sz w:val="28"/>
          <w:szCs w:val="28"/>
        </w:rPr>
      </w:r>
      <w:r>
        <w:rPr>
          <w:color w:val="ee0000"/>
          <w:sz w:val="28"/>
          <w:szCs w:val="28"/>
        </w:rPr>
      </w:r>
    </w:p>
    <w:p>
      <w:pPr>
        <w:widowControl w:val="true"/>
        <w:pBdr/>
        <w:spacing w:before="1"/>
        <w:ind w:left="564"/>
        <w:jc w:val="center"/>
        <w:rPr>
          <w:sz w:val="24"/>
          <w:szCs w:val="24"/>
        </w:rPr>
      </w:pPr>
      <w:r>
        <w:rPr>
          <w:i/>
          <w:iCs/>
          <w:color w:val="000000"/>
          <w:sz w:val="28"/>
          <w:szCs w:val="28"/>
        </w:rPr>
        <w:t xml:space="preserve">Пріоритетні галузі (сектори) для публічного інвестування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pBdr/>
        <w:spacing w:before="321"/>
        <w:ind w:right="286" w:firstLine="709" w:left="143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Пріоритетні галузі (сектори) для публічного інвестування, що містяться в середньостроковому плані, є ключовими для громади та саме на них спрямовуватимуться публічні інвестиції на середньостроковий період.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pBdr/>
        <w:spacing w:before="1"/>
        <w:ind w:right="287" w:firstLine="709" w:left="143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До пріоритетних галузей (секторів) для публічного інвестування у 2027-2029 роках належать: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spacing/>
        <w:ind w:right="2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Культура та інформація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numPr>
          <w:ilvl w:val="0"/>
          <w:numId w:val="1"/>
        </w:numPr>
        <w:pBdr/>
        <w:spacing/>
        <w:ind w:right="2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Спорт, фізичне та молодіжне виховання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numPr>
          <w:ilvl w:val="0"/>
          <w:numId w:val="1"/>
        </w:numPr>
        <w:pBdr/>
        <w:spacing/>
        <w:ind w:right="2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Муніципальна інфраструктура 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послуги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numPr>
          <w:ilvl w:val="0"/>
          <w:numId w:val="1"/>
        </w:numPr>
        <w:pBdr/>
        <w:spacing/>
        <w:ind w:right="2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Транспорт та послуги поштового зв'язку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numPr>
          <w:ilvl w:val="0"/>
          <w:numId w:val="1"/>
        </w:numPr>
        <w:pBdr/>
        <w:spacing/>
        <w:ind w:right="367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Освіта і наука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numPr>
          <w:ilvl w:val="0"/>
          <w:numId w:val="1"/>
        </w:numPr>
        <w:pBdr/>
        <w:spacing/>
        <w:ind w:right="367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Охорона здоров'я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numPr>
          <w:ilvl w:val="0"/>
          <w:numId w:val="1"/>
        </w:numPr>
        <w:pBdr/>
        <w:spacing/>
        <w:ind w:right="367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Соціальна сфера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pBdr/>
        <w:spacing/>
        <w:ind w:right="3678" w:left="1440"/>
        <w:rPr>
          <w:sz w:val="28"/>
          <w:szCs w:val="28"/>
          <w:shd w:val="clear" w:color="auto" w:fill="f4cccc"/>
        </w:rPr>
      </w:pPr>
      <w:r>
        <w:rPr>
          <w:sz w:val="28"/>
          <w:szCs w:val="28"/>
          <w:shd w:val="clear" w:color="auto" w:fill="f4cccc"/>
        </w:rPr>
      </w:r>
      <w:r>
        <w:rPr>
          <w:sz w:val="28"/>
          <w:szCs w:val="28"/>
          <w:shd w:val="clear" w:color="auto" w:fill="f4cccc"/>
        </w:rPr>
      </w:r>
      <w:r>
        <w:rPr>
          <w:sz w:val="28"/>
          <w:szCs w:val="28"/>
          <w:shd w:val="clear" w:color="auto" w:fill="f4cccc"/>
        </w:rPr>
      </w:r>
    </w:p>
    <w:p>
      <w:pPr>
        <w:widowControl w:val="true"/>
        <w:pBdr/>
        <w:spacing/>
        <w:ind w:right="1" w:left="564"/>
        <w:jc w:val="center"/>
        <w:rPr>
          <w:sz w:val="24"/>
          <w:szCs w:val="24"/>
        </w:rPr>
      </w:pPr>
      <w:r>
        <w:rPr>
          <w:i/>
          <w:iCs/>
          <w:color w:val="000000"/>
          <w:sz w:val="28"/>
          <w:szCs w:val="28"/>
        </w:rPr>
        <w:t xml:space="preserve">Підсектори</w:t>
      </w:r>
      <w:r>
        <w:rPr>
          <w:i/>
          <w:iCs/>
          <w:color w:val="000000"/>
          <w:sz w:val="28"/>
          <w:szCs w:val="28"/>
        </w:rPr>
        <w:t xml:space="preserve"> галузей (секторів) для публічного інвестування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pBdr/>
        <w:spacing/>
        <w:ind w:right="195" w:firstLine="720" w:left="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Підсектори</w:t>
      </w:r>
      <w:r>
        <w:rPr>
          <w:color w:val="000000"/>
          <w:sz w:val="28"/>
          <w:szCs w:val="28"/>
        </w:rPr>
        <w:t xml:space="preserve"> галузей (секторів) для публічного інвестування формуються в межах кожної пріоритетної галузі (сектора) та конкретизують напрями спрямування публічних інвестицій у Менській міській територіальній громаді на 2027–2029 роки.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pBdr/>
        <w:spacing/>
        <w:ind w:right="195" w:firstLine="720" w:left="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Визначення </w:t>
      </w:r>
      <w:r>
        <w:rPr>
          <w:color w:val="000000"/>
          <w:sz w:val="28"/>
          <w:szCs w:val="28"/>
        </w:rPr>
        <w:t xml:space="preserve">підсекторів</w:t>
      </w:r>
      <w:r>
        <w:rPr>
          <w:color w:val="000000"/>
          <w:sz w:val="28"/>
          <w:szCs w:val="28"/>
        </w:rPr>
        <w:t xml:space="preserve"> здійснено з урахуванням потреб громади, стратегічних цілей її розвитку, наявної інфраструктури, вимог безпеки, а також необхідності забезпечення безперервності реалізації раніше розпочатих інвестиційних </w:t>
      </w:r>
      <w:r>
        <w:rPr>
          <w:color w:val="000000"/>
          <w:sz w:val="28"/>
          <w:szCs w:val="28"/>
        </w:rPr>
        <w:t xml:space="preserve">проєктів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pBdr/>
        <w:spacing/>
        <w:ind w:right="195" w:firstLine="720" w:left="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Підсектори</w:t>
      </w:r>
      <w:r>
        <w:rPr>
          <w:color w:val="000000"/>
          <w:sz w:val="28"/>
          <w:szCs w:val="28"/>
        </w:rPr>
        <w:t xml:space="preserve"> дозволяють деталізувати напрями інвестування, забезпечити концентрацію ресурсів на найбільш актуальних потребах громади та сформувати основу для подальшого відбору інвестиційних програм і </w:t>
      </w:r>
      <w:r>
        <w:rPr>
          <w:color w:val="000000"/>
          <w:sz w:val="28"/>
          <w:szCs w:val="28"/>
        </w:rPr>
        <w:t xml:space="preserve">проєктів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line="259" w:lineRule="auto"/>
        <w:ind w:right="388" w:firstLine="720" w:left="143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До СПІ 2027-2029 Менської міської територіальної громади включено 20 </w:t>
      </w:r>
      <w:r>
        <w:rPr>
          <w:sz w:val="28"/>
          <w:szCs w:val="28"/>
        </w:rPr>
        <w:t xml:space="preserve">підсекторів</w:t>
      </w:r>
      <w:r>
        <w:rPr>
          <w:sz w:val="28"/>
          <w:szCs w:val="28"/>
        </w:rPr>
        <w:t xml:space="preserve"> в</w:t>
      </w:r>
      <w:r>
        <w:rPr>
          <w:sz w:val="28"/>
          <w:szCs w:val="28"/>
          <w:highlight w:val="white"/>
        </w:rPr>
        <w:t xml:space="preserve"> межах 7 галузей (секторів) для публічного інвестування.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widowControl w:val="true"/>
        <w:pBdr/>
        <w:spacing/>
        <w:ind w:right="1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pBdr/>
        <w:spacing/>
        <w:ind w:right="19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Основні напрями публічного інвестування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pBdr/>
        <w:spacing/>
        <w:ind w:right="195"/>
        <w:jc w:val="center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</w:r>
      <w:r>
        <w:rPr>
          <w:i/>
          <w:iCs/>
          <w:color w:val="000000"/>
          <w:sz w:val="28"/>
          <w:szCs w:val="28"/>
        </w:rPr>
      </w:r>
      <w:r>
        <w:rPr>
          <w:i/>
          <w:iCs/>
          <w:color w:val="000000"/>
          <w:sz w:val="28"/>
          <w:szCs w:val="28"/>
        </w:rPr>
      </w:r>
    </w:p>
    <w:p>
      <w:pPr>
        <w:widowControl w:val="true"/>
        <w:pBdr/>
        <w:spacing/>
        <w:ind w:right="19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Основні </w:t>
      </w:r>
      <w:r>
        <w:rPr>
          <w:color w:val="000000"/>
          <w:sz w:val="28"/>
          <w:szCs w:val="28"/>
        </w:rPr>
        <w:t xml:space="preserve">напрями публічного інвестування визначаються відповідно до стратегічних цілей та завдань розвитку Менської міської територіальної громади і узгоджуються з пріоритетними галузями (секторами) публічного інвестування, визначеними цим Середньостроковим планом.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pBdr/>
        <w:spacing/>
        <w:ind w:right="19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Напрям публічного інвестування визначає сферу діяльності органів місцевого самоврядування, у межах якої передбачається спрямування публічних коштів на підготовку та реалізацію інвестиційних програм і </w:t>
      </w:r>
      <w:r>
        <w:rPr>
          <w:color w:val="000000"/>
          <w:sz w:val="28"/>
          <w:szCs w:val="28"/>
        </w:rPr>
        <w:t xml:space="preserve">проєктів</w:t>
      </w:r>
      <w:r>
        <w:rPr>
          <w:color w:val="000000"/>
          <w:sz w:val="28"/>
          <w:szCs w:val="28"/>
        </w:rPr>
        <w:t xml:space="preserve"> для досягнення цілей соціально-економічного розвитку громади, підвищення якості публічних послуг, відновлення та модернізації інфраструктури, а також зміцнення стійкості громади до сучасних викликів.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pBdr/>
        <w:spacing/>
        <w:ind w:right="19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Основні напрями публічного </w:t>
      </w:r>
      <w:r>
        <w:rPr>
          <w:color w:val="000000"/>
          <w:sz w:val="28"/>
          <w:szCs w:val="28"/>
        </w:rPr>
        <w:t xml:space="preserve">інвестування сформовані на основі аналізу поточного стану громади, потреб її мешканців, завдань Стратегії розвитку Менської міської територіальної громади, галузевих програм розвитку та з урахуванням необхідності завершення раніше розпочатих інвестиційних </w:t>
      </w:r>
      <w:r>
        <w:rPr>
          <w:color w:val="000000"/>
          <w:sz w:val="28"/>
          <w:szCs w:val="28"/>
        </w:rPr>
        <w:t xml:space="preserve">проєктів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pBdr/>
        <w:spacing/>
        <w:ind w:right="19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pBdr/>
        <w:spacing/>
        <w:ind w:right="195"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Фінансова структура публічних інвестицій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pBdr/>
        <w:spacing/>
        <w:ind w:right="19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pBdr/>
        <w:spacing/>
        <w:ind w:right="19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Орієнтовний граничний сукупний обсяг публічних інвестицій на 2027 – 2029 роки в розрізі джерел фінансового забезпечення та за роками становить: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 w:right="281"/>
        <w:jc w:val="right"/>
        <w:rPr>
          <w:sz w:val="16"/>
          <w:szCs w:val="16"/>
          <w:highlight w:val="red"/>
        </w:rPr>
      </w:pPr>
      <w:r>
        <w:rPr>
          <w:sz w:val="16"/>
          <w:szCs w:val="16"/>
          <w:highlight w:val="red"/>
        </w:rPr>
      </w:r>
      <w:r>
        <w:rPr>
          <w:sz w:val="16"/>
          <w:szCs w:val="16"/>
          <w:highlight w:val="red"/>
        </w:rPr>
      </w:r>
      <w:r>
        <w:rPr>
          <w:sz w:val="16"/>
          <w:szCs w:val="16"/>
          <w:highlight w:val="red"/>
        </w:rPr>
      </w:r>
    </w:p>
    <w:p>
      <w:pPr>
        <w:pBdr/>
        <w:spacing/>
        <w:ind w:right="281"/>
        <w:jc w:val="righ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Тис. грн.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974"/>
        <w:jc w:val="right"/>
        <w:tblW w:w="991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760"/>
        <w:gridCol w:w="1815"/>
        <w:gridCol w:w="1785"/>
        <w:gridCol w:w="1695"/>
        <w:gridCol w:w="1860"/>
      </w:tblGrid>
      <w:tr>
        <w:trPr>
          <w:cantSplit w:val="false"/>
        </w:trPr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 w:after="20" w:before="20"/>
              <w:ind w:right="-2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Показник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 w:after="20" w:before="20"/>
              <w:ind w:right="-68"/>
              <w:jc w:val="center"/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rtl w:val="0"/>
              </w:rPr>
              <w:t xml:space="preserve">2027 рік (прогноз)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 w:after="20" w:before="20"/>
              <w:ind w:right="15"/>
              <w:jc w:val="center"/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rtl w:val="0"/>
              </w:rPr>
              <w:t xml:space="preserve">2028 рік (прогноз)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 w:after="20" w:before="20"/>
              <w:ind w:right="67"/>
              <w:jc w:val="center"/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rtl w:val="0"/>
              </w:rPr>
              <w:t xml:space="preserve">2029 рік (прогноз)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 w:after="20" w:before="20"/>
              <w:ind w:right="-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Разом 2027-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 w:after="20" w:before="20"/>
              <w:ind w:right="-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2029 роки (прогноз)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widowControl w:val="true"/>
              <w:pBdr/>
              <w:spacing w:after="20" w:before="20"/>
              <w:ind w:right="-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Орієнтовний граничний сукупний обсяг публічних інвестицій, в тому числі за рахунок: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extDirection w:val="lrTb"/>
            <w:noWrap w:val="false"/>
          </w:tcPr>
          <w:p>
            <w:pPr>
              <w:widowControl w:val="true"/>
              <w:pBdr/>
              <w:spacing/>
              <w:ind w:right="19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 w:val="0"/>
              </w:rPr>
              <w:t xml:space="preserve">244 580,00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extDirection w:val="lrTb"/>
            <w:noWrap w:val="false"/>
          </w:tcPr>
          <w:p>
            <w:pPr>
              <w:widowControl w:val="true"/>
              <w:pBdr/>
              <w:spacing/>
              <w:ind w:right="19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 w:val="0"/>
              </w:rPr>
              <w:t xml:space="preserve">156 500,00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extDirection w:val="lrTb"/>
            <w:noWrap w:val="false"/>
          </w:tcPr>
          <w:p>
            <w:pPr>
              <w:widowControl w:val="true"/>
              <w:pBdr/>
              <w:spacing/>
              <w:ind w:right="19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 w:val="0"/>
              </w:rPr>
              <w:t xml:space="preserve">201 100,00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extDirection w:val="lrTb"/>
            <w:noWrap w:val="false"/>
          </w:tcPr>
          <w:p>
            <w:pPr>
              <w:widowControl w:val="true"/>
              <w:pBdr/>
              <w:spacing/>
              <w:ind w:right="-2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 w:val="0"/>
              </w:rPr>
              <w:t xml:space="preserve">602 180,00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/>
              <w:ind w:right="-49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Державний бюджет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/>
              <w:ind w:right="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137 280,00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/>
              <w:ind w:right="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34 000,00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/>
              <w:ind w:right="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68 600,00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/>
              <w:ind w:right="-50" w:firstLine="0" w:left="-14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239 880,00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/>
              <w:ind w:right="-49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Кошти, залучені від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right="-49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міжнародних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right="-49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фінансових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right="-49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організацій та урядів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right="-49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іноземних країн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/>
              <w:ind w:right="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105 300,00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/>
              <w:ind w:right="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119 500,00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/>
              <w:ind w:right="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129 500,00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/>
              <w:ind w:right="-50" w:firstLine="0" w:left="-14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    354 300,00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right="-50" w:firstLine="0" w:left="-141"/>
              <w:jc w:val="center"/>
              <w:rPr>
                <w:sz w:val="28"/>
                <w:szCs w:val="28"/>
              </w:rPr>
            </w:pPr>
            <w:r>
              <w:rPr>
                <w:rtl w:val="0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/>
              <w:ind w:right="-49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коштів місцевого бюджету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/>
              <w:ind w:right="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2 000,00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/>
              <w:ind w:right="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3 000,00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/>
              <w:ind w:right="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3 000,00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00" w:type="dxa"/>
              <w:top w:w="100" w:type="dxa"/>
              <w:right w:w="100" w:type="dxa"/>
              <w:bottom w:w="100" w:type="dxa"/>
            </w:tcMar>
            <w:textDirection w:val="lrTb"/>
            <w:noWrap w:val="false"/>
          </w:tcPr>
          <w:p>
            <w:pPr>
              <w:pBdr/>
              <w:spacing/>
              <w:ind w:right="-2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8 000,00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widowControl w:val="true"/>
        <w:pBdr/>
        <w:spacing w:before="320"/>
        <w:ind w:right="-277" w:firstLine="6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Розподіл орієнтовного граничного сукупного обсягу публічних і</w:t>
      </w:r>
      <w:r>
        <w:rPr>
          <w:sz w:val="28"/>
          <w:szCs w:val="28"/>
        </w:rPr>
        <w:t xml:space="preserve">нвестицій на 2027, 2028, 2029 роки на сектори (галузі) для публічного інвестування в межах доведеного Фінансовим управлінням Менської міської ради орієнтовного граничного сукупного обсягу публічних інвестицій на середньостроковий період має таку структуру: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true"/>
        <w:pBdr/>
        <w:spacing/>
        <w:ind w:right="195" w:firstLine="822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Тис. грн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pBdr/>
        <w:spacing/>
        <w:ind w:right="1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Style w:val="975"/>
        <w:tblInd w:w="143" w:type="dxa"/>
        <w:tblW w:w="98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55"/>
        <w:gridCol w:w="1755"/>
        <w:gridCol w:w="1710"/>
        <w:gridCol w:w="1830"/>
        <w:gridCol w:w="1890"/>
      </w:tblGrid>
      <w:tr>
        <w:trPr/>
        <w:tc>
          <w:tcPr>
            <w:tcBorders/>
            <w:tcW w:w="2655" w:type="dxa"/>
            <w:textDirection w:val="lrTb"/>
            <w:noWrap w:val="false"/>
          </w:tcPr>
          <w:p>
            <w:pPr>
              <w:pBdr/>
              <w:spacing/>
              <w:ind w:right="1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Показник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 w:left="1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2027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1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(прогноз)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710" w:type="dxa"/>
            <w:textDirection w:val="lrTb"/>
            <w:noWrap w:val="false"/>
          </w:tcPr>
          <w:p>
            <w:pPr>
              <w:pBdr/>
              <w:spacing/>
              <w:ind w:left="1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2028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1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(прогноз)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830" w:type="dxa"/>
            <w:textDirection w:val="lrTb"/>
            <w:noWrap w:val="false"/>
          </w:tcPr>
          <w:p>
            <w:pPr>
              <w:pBdr/>
              <w:spacing/>
              <w:ind w:left="1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2029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1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(прогноз)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2027-2029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19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(прогноз)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655" w:type="dxa"/>
            <w:textDirection w:val="lrTb"/>
            <w:noWrap w:val="false"/>
          </w:tcPr>
          <w:p>
            <w:pPr>
              <w:pBdr/>
              <w:spacing/>
              <w:ind w:right="195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Культура і інформація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10 000,00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710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15 000,00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830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25 000,00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50 000,00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655" w:type="dxa"/>
            <w:textDirection w:val="lrTb"/>
            <w:noWrap w:val="false"/>
          </w:tcPr>
          <w:p>
            <w:pPr>
              <w:pBdr/>
              <w:spacing/>
              <w:ind w:right="19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Спорт, фізичне та молодіжне виховання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right="-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2 500,00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710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right="-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7 500,00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830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right="-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50 000,00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right="-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60 000,00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655" w:type="dxa"/>
            <w:textDirection w:val="lrTb"/>
            <w:noWrap w:val="false"/>
          </w:tcPr>
          <w:p>
            <w:pPr>
              <w:pBdr/>
              <w:spacing/>
              <w:ind w:right="19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Муніципальна інфраструктура та послуги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right="-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76 000,00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710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right="-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56 000,00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830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right="-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52 000,00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widowControl w:val="false"/>
              <w:pBdr/>
              <w:spacing/>
              <w:ind w:right="-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184 000,00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655" w:type="dxa"/>
            <w:textDirection w:val="lrTb"/>
            <w:noWrap w:val="false"/>
          </w:tcPr>
          <w:p>
            <w:pPr>
              <w:widowControl w:val="false"/>
              <w:pBdr/>
              <w:spacing w:before="120"/>
              <w:ind w:right="-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Транспорт та </w:t>
            </w:r>
            <w:r>
              <w:rPr>
                <w:sz w:val="28"/>
                <w:szCs w:val="28"/>
              </w:rPr>
              <w:t xml:space="preserve">послуги поштового зв'язку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710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830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655" w:type="dxa"/>
            <w:textDirection w:val="lrTb"/>
            <w:noWrap w:val="false"/>
          </w:tcPr>
          <w:p>
            <w:pPr>
              <w:pBdr/>
              <w:spacing/>
              <w:ind w:right="1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Освіта і наука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136 280,00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710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56 000,00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830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23 600,00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215 880,00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655" w:type="dxa"/>
            <w:textDirection w:val="lrTb"/>
            <w:noWrap w:val="false"/>
          </w:tcPr>
          <w:p>
            <w:pPr>
              <w:pBdr/>
              <w:spacing/>
              <w:ind w:right="-9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Охорона здоров'я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4 500,00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710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6 000,00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830" w:type="dxa"/>
            <w:textDirection w:val="lrTb"/>
            <w:noWrap w:val="false"/>
          </w:tcPr>
          <w:p>
            <w:pPr>
              <w:pBdr/>
              <w:spacing/>
              <w:ind w:right="-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38 000,00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 xml:space="preserve">48 500,00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655" w:type="dxa"/>
            <w:textDirection w:val="lrTb"/>
            <w:noWrap w:val="false"/>
          </w:tcPr>
          <w:p>
            <w:pPr>
              <w:pBdr/>
              <w:spacing/>
              <w:ind w:right="-94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Соціальна сфера </w:t>
            </w:r>
            <w:r>
              <w:rPr>
                <w:color w:val="ff0000"/>
                <w:sz w:val="28"/>
                <w:szCs w:val="28"/>
              </w:rPr>
            </w:r>
            <w:r>
              <w:rPr>
                <w:color w:val="ff0000"/>
                <w:sz w:val="28"/>
                <w:szCs w:val="28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 w:right="1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10 300,00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710" w:type="dxa"/>
            <w:textDirection w:val="lrTb"/>
            <w:noWrap w:val="false"/>
          </w:tcPr>
          <w:p>
            <w:pPr>
              <w:pBdr/>
              <w:spacing/>
              <w:ind w:right="1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11 000,00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830" w:type="dxa"/>
            <w:textDirection w:val="lrTb"/>
            <w:noWrap w:val="false"/>
          </w:tcPr>
          <w:p>
            <w:pPr>
              <w:pBdr/>
              <w:spacing/>
              <w:ind w:right="1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7 500,00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widowControl w:val="false"/>
              <w:pBdr/>
              <w:spacing/>
              <w:ind w:left="1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28 800,</w:t>
            </w:r>
            <w:r>
              <w:rPr>
                <w:sz w:val="28"/>
                <w:szCs w:val="28"/>
                <w:highlight w:val="white"/>
              </w:rPr>
              <w:t xml:space="preserve">00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655" w:type="dxa"/>
            <w:textDirection w:val="lrTb"/>
            <w:noWrap w:val="false"/>
          </w:tcPr>
          <w:p>
            <w:pPr>
              <w:pBdr/>
              <w:spacing/>
              <w:ind w:right="-9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Загальний результат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 w:right="19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244 580,00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1710" w:type="dxa"/>
            <w:textDirection w:val="lrTb"/>
            <w:noWrap w:val="false"/>
          </w:tcPr>
          <w:p>
            <w:pPr>
              <w:pBdr/>
              <w:spacing/>
              <w:ind w:right="19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156 500,00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1830" w:type="dxa"/>
            <w:textDirection w:val="lrTb"/>
            <w:noWrap w:val="false"/>
          </w:tcPr>
          <w:p>
            <w:pPr>
              <w:pBdr/>
              <w:spacing/>
              <w:ind w:right="19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201 100,00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 w:right="-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602 180,00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pBdr/>
        <w:spacing/>
        <w:ind w:right="16" w:left="56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right="16" w:left="564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Підсумки та перспективи</w:t>
      </w: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Bdr/>
        <w:spacing/>
        <w:ind w:right="16" w:left="564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Bdr/>
        <w:spacing w:after="20" w:before="20"/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Середньостроковий план пріоритетних публічних інвестицій Менської міської територіальної громади на 2027–2029 роки є основним інструментом стратегічного планування публіч</w:t>
      </w:r>
      <w:r>
        <w:rPr>
          <w:sz w:val="28"/>
          <w:szCs w:val="28"/>
        </w:rPr>
        <w:t xml:space="preserve">них інвестицій, спрямованим на забезпечення комплексного розвитку громади, відновлення та модернізації її інфраструктури, підвищення якості та доступності публічних послуг, а також створення безпечного, інклюзивного та комфортного середовища для мешканців.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20" w:before="20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СПППІ 2027–2029 визначає пріоритетні напрями інвестування, що відповідають стратегічним цілям розвитку Менської міськ</w:t>
      </w:r>
      <w:r>
        <w:rPr>
          <w:sz w:val="28"/>
          <w:szCs w:val="28"/>
        </w:rPr>
        <w:t xml:space="preserve">ої територіальної громади, потребам її жителів та державній політиці у сфері управління публічними інвестиціями. Реалізація визначених напрямів сприятиме модернізації соціальної, культурної, спортивної, транспортної та комунальної інфраструктури, розвитку </w:t>
      </w:r>
      <w:r>
        <w:rPr>
          <w:sz w:val="28"/>
          <w:szCs w:val="28"/>
        </w:rPr>
        <w:t xml:space="preserve">безбар'єрного</w:t>
      </w:r>
      <w:r>
        <w:rPr>
          <w:sz w:val="28"/>
          <w:szCs w:val="28"/>
        </w:rPr>
        <w:t xml:space="preserve"> простору, підвищенню енергоефективності громадських будівель, зміцненню матеріально-технічної бази комунальних підприємств і закладів охорони здоров'я.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20" w:before="20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 створює основу для системного планування публічних інвестицій, забезпечує прозорість прийняття управлінських рішень та формує перелік пріоритетних інвестиційних </w:t>
      </w:r>
      <w:r>
        <w:rPr>
          <w:sz w:val="28"/>
          <w:szCs w:val="28"/>
        </w:rPr>
        <w:t xml:space="preserve">проєктів</w:t>
      </w:r>
      <w:r>
        <w:rPr>
          <w:sz w:val="28"/>
          <w:szCs w:val="28"/>
        </w:rPr>
        <w:t xml:space="preserve">, реалізація яких здійснюватиметься за рахунок коштів </w:t>
      </w:r>
      <w:r>
        <w:rPr>
          <w:sz w:val="28"/>
          <w:szCs w:val="28"/>
        </w:rPr>
        <w:t xml:space="preserve">місцевого бюджету, а також інших джерел фінансування, не заборонених законодавством, зокрема коштів державного бюджету, міжнародної технічної допомоги, міжнародних фінансових організацій, грантових програм, благодійної допомоги та інших залучених ресурсів.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20" w:before="20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Включення </w:t>
      </w:r>
      <w:r>
        <w:rPr>
          <w:sz w:val="28"/>
          <w:szCs w:val="28"/>
        </w:rPr>
        <w:t xml:space="preserve">проєктів</w:t>
      </w:r>
      <w:r>
        <w:rPr>
          <w:sz w:val="28"/>
          <w:szCs w:val="28"/>
        </w:rPr>
        <w:t xml:space="preserve"> до Середньострокового плану пріоритетних публічних інвестицій забезпечує їх відповідність стратегічним пріоритетам розвитку громади та створює передумови для залучення додаткового фінансування на реалізацію інвестиційних ініціатив.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20" w:before="20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Важливими передумовами успішної реалізації СПППІ 2027–2029 є: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pBdr/>
        <w:spacing w:before="20"/>
        <w:ind w:firstLine="570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забезпечення якісної підготовки публічних інвестиційних </w:t>
      </w:r>
      <w:r>
        <w:rPr>
          <w:sz w:val="28"/>
          <w:szCs w:val="28"/>
        </w:rPr>
        <w:t xml:space="preserve">проєктів</w:t>
      </w:r>
      <w:r>
        <w:rPr>
          <w:sz w:val="28"/>
          <w:szCs w:val="28"/>
        </w:rPr>
        <w:t xml:space="preserve"> відповідно до вимог законодавства та уніфікованих методичних підходів;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pBdr/>
        <w:spacing/>
        <w:ind w:firstLine="570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ефективне планування та використання фінансових ресурсів місцевого бюджету;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pBdr/>
        <w:spacing/>
        <w:ind w:firstLine="570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залучення коштів державного бюджету, міжнародної технічної допомоги, міжнародних фінансових організацій та інших джерел фінансування;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pBdr/>
        <w:spacing/>
        <w:ind w:firstLine="570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координація діяльності виконавчих органів міської ради, комунальних підприємств та установ під час реалізації інвестиційних </w:t>
      </w:r>
      <w:r>
        <w:rPr>
          <w:sz w:val="28"/>
          <w:szCs w:val="28"/>
        </w:rPr>
        <w:t xml:space="preserve">проєктів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pBdr/>
        <w:spacing/>
        <w:ind w:firstLine="570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забезпечення досягнення визначених цільових показників та індикаторів за кожним напрямом публічного інвестування;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pBdr/>
        <w:spacing w:after="20"/>
        <w:ind w:firstLine="570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здійснення постійного моніторингу та оцінки результативності реалізації інвестиційних </w:t>
      </w:r>
      <w:r>
        <w:rPr>
          <w:sz w:val="28"/>
          <w:szCs w:val="28"/>
        </w:rPr>
        <w:t xml:space="preserve">проєктів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20" w:before="20"/>
        <w:ind w:firstLine="566"/>
        <w:jc w:val="both"/>
        <w:rPr>
          <w:sz w:val="28"/>
          <w:szCs w:val="28"/>
        </w:rPr>
        <w:sectPr>
          <w:headerReference w:type="default" r:id="rId9"/>
          <w:footerReference w:type="default" r:id="rId10"/>
          <w:footnotePr/>
          <w:endnotePr/>
          <w:type w:val="nextPage"/>
          <w:pgSz w:h="16840" w:orient="portrait" w:w="11910"/>
          <w:pgMar w:top="1162" w:right="567" w:bottom="1145" w:left="1729" w:header="0" w:footer="1002" w:gutter="0"/>
          <w:pgNumType w:start="1"/>
          <w:cols w:num="1" w:sep="0" w:space="720" w:equalWidth="1"/>
          <w:titlePg/>
        </w:sectPr>
      </w:pPr>
      <w:r>
        <w:rPr>
          <w:sz w:val="28"/>
          <w:szCs w:val="28"/>
        </w:rPr>
        <w:t xml:space="preserve">Реалізація Середньострокового плану пріоритетних публічних інвестицій Менської міської територіальної громади на 2027–2029 роки сприятиме підвищ</w:t>
      </w:r>
      <w:r>
        <w:rPr>
          <w:sz w:val="28"/>
          <w:szCs w:val="28"/>
        </w:rPr>
        <w:t xml:space="preserve">енню спроможності громади, розвитку сучасної та доступної інфраструктури, покращенню якості публічних послуг, створенню умов для сталого соціально-економічного розвитку, зміцненню інвестиційної привабливості громади та підвищенню якості життя її мешканців.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tbl>
      <w:tblPr>
        <w:tblStyle w:val="976"/>
        <w:tblInd w:w="83" w:type="dxa"/>
        <w:tblW w:w="1471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3180"/>
        <w:gridCol w:w="4335"/>
        <w:gridCol w:w="1215"/>
        <w:gridCol w:w="1320"/>
        <w:gridCol w:w="1365"/>
        <w:gridCol w:w="1200"/>
      </w:tblGrid>
      <w:tr>
        <w:trPr>
          <w:trHeight w:val="855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37" w:left="15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Пріоритетна галузь (сектор) для публічного інвестування –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Муніципальна інфраструктура та послуги </w:t>
            </w:r>
            <w:r>
              <w:rPr>
                <w:color w:val="000000"/>
                <w:sz w:val="24"/>
                <w:szCs w:val="24"/>
              </w:rPr>
              <w:t xml:space="preserve">Міністерство, відповідальне за галузь (сектор) для публічного інвестування – </w:t>
            </w:r>
            <w:r>
              <w:rPr>
                <w:b/>
                <w:bCs/>
                <w:sz w:val="24"/>
                <w:szCs w:val="24"/>
              </w:rPr>
              <w:t xml:space="preserve">Відділ житлово-комунального господарства та комунального майна Менської міської ради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37" w:left="15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Граничний сукупний обсяг публічних інвестицій на середньостроковий період на галузь (сектор) - </w:t>
            </w:r>
            <w:r>
              <w:rPr>
                <w:sz w:val="24"/>
                <w:szCs w:val="24"/>
              </w:rPr>
              <w:t xml:space="preserve">184 000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 тис. грн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8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textDirection w:val="lrTb"/>
            <w:noWrap w:val="false"/>
          </w:tcPr>
          <w:p>
            <w:pPr>
              <w:pBdr/>
              <w:spacing w:before="100"/>
              <w:ind w:right="8" w:left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Підсектор</w:t>
            </w:r>
            <w:r>
              <w:rPr>
                <w:sz w:val="24"/>
                <w:szCs w:val="24"/>
              </w:rPr>
              <w:t xml:space="preserve"> галузі (сектору) для публічного інвестування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textDirection w:val="lrTb"/>
            <w:noWrap w:val="false"/>
          </w:tcPr>
          <w:p>
            <w:pPr>
              <w:pBdr/>
              <w:spacing w:before="100"/>
              <w:ind w:hanging="852" w:left="9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Основний напрям публічного інвестування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pBdr/>
              <w:spacing w:before="100"/>
              <w:ind w:right="863" w:hanging="756" w:left="16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Найменування цільового показника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15" w:type="dxa"/>
            <w:textDirection w:val="lrTb"/>
            <w:noWrap w:val="false"/>
          </w:tcPr>
          <w:p>
            <w:pPr>
              <w:pBdr/>
              <w:spacing w:before="100"/>
              <w:ind w:right="57" w:lef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Базове значення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/>
              <w:spacing w:before="100"/>
              <w:ind w:right="25" w:firstLine="175" w:lef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Планове значення на 2027 р.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65" w:type="dxa"/>
            <w:textDirection w:val="lrTb"/>
            <w:noWrap w:val="false"/>
          </w:tcPr>
          <w:p>
            <w:pPr>
              <w:pBdr/>
              <w:spacing w:before="100"/>
              <w:ind w:right="48" w:firstLine="175"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Планове значення на 2028 р.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00" w:type="dxa"/>
            <w:textDirection w:val="lrTb"/>
            <w:noWrap w:val="false"/>
          </w:tcPr>
          <w:p>
            <w:pPr>
              <w:pBdr/>
              <w:spacing w:before="100"/>
              <w:ind w:right="37" w:lef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Планове значення на 2029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8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8" w:left="3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Водопостачання та водовідведення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246" w:left="2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Відновлення, розвиток та модернізація інфраструктури централізованого водопостачання та водовідведення, в тому числі з впровадженням альтернативних джерел енергії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246" w:left="2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246" w:left="269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37" w:left="159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Розширення доступу населення до якісного питного водопостачання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/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24,7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26,2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27,1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28,3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6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widowControl w:val="true"/>
              <w:pBdr/>
              <w:spacing w:after="20" w:before="20"/>
              <w:ind w:right="137" w:left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Розширення доступу населення до централізованого  водовідведення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5,4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5,8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6,4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7,2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6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widowControl w:val="true"/>
              <w:pBdr/>
              <w:spacing w:after="20" w:before="20"/>
              <w:ind w:right="137" w:left="159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Частка стічних вод, що проходять повний цикл біологічного очищення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/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5,4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30,1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30,1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33,7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6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pBdr/>
              <w:spacing/>
              <w:ind w:right="246" w:left="2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Збільшення частки відновлюваних джерел енергії у споживанні підприємств водопостачання та водовідведення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Управління побутовими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відходами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Розвиток та модернізація системи управління побутовими відходами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widowControl w:val="true"/>
              <w:pBdr/>
              <w:spacing w:after="20" w:before="20"/>
              <w:ind w:right="137" w:left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Частка населення громади, забезпеченого екологічно безпечним управлінням побутовими відходами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20,0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35,0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50,0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6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Теплопостачання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Відновлення, модернізація та розвиток систем централізованого та децентралізованого теплопостачання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widowControl w:val="true"/>
              <w:pBdr/>
              <w:spacing w:after="20" w:before="20"/>
              <w:ind w:right="137" w:lef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Частка відновлених та альтернативних джерел енергії у виробництві теплової енергії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50,0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100,0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6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3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Частка об’єктів теплопостачання, забезпечених децентралізованим опалювальним обладнанням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50,0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50,0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50,0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6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Розбудова та відновлення </w:t>
            </w:r>
            <w:r>
              <w:rPr>
                <w:color w:val="000000"/>
                <w:sz w:val="24"/>
                <w:szCs w:val="24"/>
              </w:rPr>
              <w:t xml:space="preserve">інфраструктури 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органів влади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Розвиток та модернізація муніципальної </w:t>
            </w:r>
            <w:r>
              <w:rPr>
                <w:color w:val="000000"/>
                <w:sz w:val="24"/>
                <w:szCs w:val="24"/>
              </w:rPr>
              <w:t xml:space="preserve">інфраструктури Менської міської територіальної громади з урахуванням вимог </w:t>
            </w:r>
            <w:r>
              <w:rPr>
                <w:color w:val="000000"/>
                <w:sz w:val="24"/>
                <w:szCs w:val="24"/>
              </w:rPr>
              <w:t xml:space="preserve">безбар'єрності</w:t>
            </w:r>
            <w:r>
              <w:rPr>
                <w:color w:val="000000"/>
                <w:sz w:val="24"/>
                <w:szCs w:val="24"/>
              </w:rPr>
              <w:t xml:space="preserve"> та доступності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widowControl w:val="true"/>
              <w:pBdr/>
              <w:spacing w:after="20" w:before="20"/>
              <w:ind w:right="1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Частка об'єктів муніципальної інфраструктури Менської міської </w:t>
            </w:r>
            <w:r>
              <w:rPr>
                <w:sz w:val="24"/>
                <w:szCs w:val="24"/>
              </w:rPr>
              <w:t xml:space="preserve">територіальної громади, пристосованих для забезпечення доступності маломобільних груп населення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 w:val="true"/>
              <w:pBdr/>
              <w:spacing w:after="20" w:before="20"/>
              <w:ind w:right="1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 w:val="true"/>
              <w:pBdr/>
              <w:spacing w:after="20" w:before="20"/>
              <w:ind w:right="1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5,1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7,0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8,8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10,6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617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Містобудування, благоустрій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Підвищення енергоефективності в громадських будівлях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37" w:left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Частка громадських будівель Менської міської територіальної громади, у яких впроваджено енергоефективні заходи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 w:val="true"/>
              <w:pBdr/>
              <w:spacing w:after="20" w:before="20"/>
              <w:ind w:right="137" w:left="1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8,0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12,0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15,0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6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Містобудування, благоустрій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Покращення матеріально-технічного забезпечення комунальної сфери Менської міської територіальної громади</w:t>
            </w:r>
            <w:r>
              <w:rPr>
                <w:sz w:val="24"/>
                <w:szCs w:val="24"/>
              </w:rPr>
              <w:br/>
              <w:t xml:space="preserve"> 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widowControl w:val="true"/>
              <w:pBdr/>
              <w:spacing w:after="20" w:before="20"/>
              <w:ind w:right="137" w:left="159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Частка оновленої матеріально-технічної бази комунальної сфери Менської міської територіальної громади 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/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18,0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27,0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30,0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35,0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tbl>
      <w:tblPr>
        <w:tblStyle w:val="977"/>
        <w:tblInd w:w="83" w:type="dxa"/>
        <w:tblW w:w="147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single" w:color="cccccc" w:sz="8" w:space="0"/>
          <w:insideV w:val="single" w:color="cccccc" w:sz="8" w:space="0"/>
        </w:tblBorders>
        <w:tblLayout w:type="fixed"/>
        <w:tblLook w:val="0000" w:firstRow="0" w:lastRow="0" w:firstColumn="0" w:lastColumn="0" w:noHBand="0" w:noVBand="0"/>
      </w:tblPr>
      <w:tblGrid>
        <w:gridCol w:w="14715"/>
      </w:tblGrid>
      <w:tr>
        <w:trPr>
          <w:trHeight w:val="930"/>
        </w:trPr>
        <w:tc>
          <w:tcPr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W w:w="147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258" w:left="4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Пріоритетна галузь (сектор) для публічного інвестування –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Освіта і наука 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258" w:left="4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Міністерство, відповідальне за галузь (сектор) для публічного інвестування – </w:t>
            </w:r>
            <w:r>
              <w:rPr>
                <w:b/>
                <w:bCs/>
                <w:sz w:val="24"/>
                <w:szCs w:val="24"/>
              </w:rPr>
              <w:t xml:space="preserve">Відділ освіти Менської міської ради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40"/>
              <w:rPr>
                <w:b/>
                <w:bCs/>
                <w:color w:val="000000"/>
                <w:sz w:val="24"/>
                <w:szCs w:val="24"/>
                <w:shd w:val="clear" w:color="auto" w:fill="f4cccc"/>
              </w:rPr>
            </w:pPr>
            <w:r>
              <w:rPr>
                <w:color w:val="000000"/>
                <w:sz w:val="24"/>
                <w:szCs w:val="24"/>
              </w:rPr>
              <w:t xml:space="preserve">Граничний сукупний обсяг публічних інвестицій на середньостроковий період на галузь (сектор) –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215 880 </w:t>
            </w: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тис. грн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4cccc"/>
              </w:rPr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4cccc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/>
        <w:rPr>
          <w:b/>
          <w:bCs/>
          <w:color w:val="000000"/>
          <w:sz w:val="24"/>
          <w:szCs w:val="24"/>
          <w:shd w:val="clear" w:color="auto" w:fill="f4cccc"/>
        </w:rPr>
      </w:pPr>
      <w:r>
        <w:rPr>
          <w:b/>
          <w:bCs/>
          <w:color w:val="000000"/>
          <w:sz w:val="24"/>
          <w:szCs w:val="24"/>
          <w:shd w:val="clear" w:color="auto" w:fill="f4cccc"/>
        </w:rPr>
      </w:r>
      <w:r>
        <w:rPr>
          <w:b/>
          <w:bCs/>
          <w:color w:val="000000"/>
          <w:sz w:val="24"/>
          <w:szCs w:val="24"/>
          <w:shd w:val="clear" w:color="auto" w:fill="f4cccc"/>
        </w:rPr>
      </w:r>
      <w:r>
        <w:rPr>
          <w:b/>
          <w:bCs/>
          <w:color w:val="000000"/>
          <w:sz w:val="24"/>
          <w:szCs w:val="24"/>
          <w:shd w:val="clear" w:color="auto" w:fill="f4cccc"/>
        </w:rPr>
      </w:r>
    </w:p>
    <w:tbl>
      <w:tblPr>
        <w:tblStyle w:val="978"/>
        <w:tblInd w:w="83" w:type="dxa"/>
        <w:tblW w:w="147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single" w:color="cccccc" w:sz="8" w:space="0"/>
          <w:insideV w:val="single" w:color="cccccc" w:sz="8" w:space="0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3180"/>
        <w:gridCol w:w="4335"/>
        <w:gridCol w:w="1215"/>
        <w:gridCol w:w="1320"/>
        <w:gridCol w:w="1365"/>
        <w:gridCol w:w="1200"/>
      </w:tblGrid>
      <w:tr>
        <w:trPr>
          <w:trHeight w:val="10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textDirection w:val="lrTb"/>
            <w:noWrap w:val="false"/>
          </w:tcPr>
          <w:p>
            <w:pPr>
              <w:pBdr/>
              <w:spacing w:before="100"/>
              <w:ind w:right="8" w:left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Підсектор</w:t>
            </w:r>
            <w:r>
              <w:rPr>
                <w:sz w:val="24"/>
                <w:szCs w:val="24"/>
              </w:rPr>
              <w:t xml:space="preserve"> галузі (сектору) для публічного інвестування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textDirection w:val="lrTb"/>
            <w:noWrap w:val="false"/>
          </w:tcPr>
          <w:p>
            <w:pPr>
              <w:pBdr/>
              <w:spacing w:before="100"/>
              <w:ind w:hanging="852" w:left="9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Основний напрям публічного інвестування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pBdr/>
              <w:spacing w:before="100"/>
              <w:ind w:right="863" w:hanging="756" w:left="16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Найменування цільового показника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15" w:type="dxa"/>
            <w:textDirection w:val="lrTb"/>
            <w:noWrap w:val="false"/>
          </w:tcPr>
          <w:p>
            <w:pPr>
              <w:pBdr/>
              <w:spacing w:before="100"/>
              <w:ind w:right="57" w:lef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Базове значення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/>
              <w:spacing w:before="100"/>
              <w:ind w:right="25" w:firstLine="175" w:lef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Планове значення на 2027 р.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65" w:type="dxa"/>
            <w:textDirection w:val="lrTb"/>
            <w:noWrap w:val="false"/>
          </w:tcPr>
          <w:p>
            <w:pPr>
              <w:pBdr/>
              <w:spacing w:before="100"/>
              <w:ind w:right="48" w:firstLine="175"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Планове значення на 2028 р.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00" w:type="dxa"/>
            <w:textDirection w:val="lrTb"/>
            <w:noWrap w:val="false"/>
          </w:tcPr>
          <w:p>
            <w:pPr>
              <w:pBdr/>
              <w:spacing w:before="100"/>
              <w:ind w:right="37" w:lef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Планове значення на 2029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005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00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Освіта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80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Облаштування захисних споруд цивільного захисту (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укриттів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) у закладах та установах освіти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4335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Частка здобувачів загальної середньої освіти, які мають можливість укриття в захисних спорудах цивільного захисту та об'єктах фонду захисних споруд цивільного захисту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55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82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86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89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005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0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8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4335" w:type="dxa"/>
            <w:textDirection w:val="lrTb"/>
            <w:noWrap w:val="false"/>
          </w:tcPr>
          <w:p>
            <w:pPr>
              <w:widowControl w:val="true"/>
              <w:pBdr/>
              <w:spacing/>
              <w:ind w:right="83"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Рівень забезпечення закладів дошкільної освіти власними спорудами цивільного захисту</w:t>
            </w:r>
            <w:r>
              <w:rPr>
                <w:rFonts w:ascii="Cambria" w:hAnsi="Cambria" w:eastAsia="Cambria" w:cs="Cambr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57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8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0" w:left="3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Освіта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3" w:left="34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Сучасний освітній простір та якісний зміст: лабораторії, майстерні, кабінети тощо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4335" w:type="dxa"/>
            <w:textDirection w:val="lrTb"/>
            <w:noWrap w:val="false"/>
          </w:tcPr>
          <w:p>
            <w:pPr>
              <w:widowControl w:val="true"/>
              <w:pBdr/>
              <w:spacing/>
              <w:ind w:right="83"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Рівень приведення закладів дошкільної освіти у відповідність до державних стандартів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8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43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83"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Рівень розвитку сучасного освітнього середовища закладів загальної середньої освіти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6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0" w:left="3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Освіта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06" w:hanging="15" w:left="144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Житлові простори: розвиток та модернізація пансіонів та гуртожитків закладів освіти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43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98" w:left="1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Рівень оновленої житлової інфраструктури закладів освіти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3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43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98" w:left="1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Питома вага об’єктів, адаптованих до потреб маломобільних груп населення, у загальній кількості відремонтованих, реконструйованих, модернізованих, побудованих будівель закладів освіти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5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43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98" w:left="1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Частка академічних ліцеїв з облаштованим пансіоном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15" w:type="dxa"/>
            <w:textDirection w:val="lrTb"/>
            <w:noWrap w:val="false"/>
          </w:tcPr>
          <w:p>
            <w:pPr>
              <w:pBdr/>
              <w:spacing/>
              <w:ind w:right="60" w:lef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20" w:type="dxa"/>
            <w:textDirection w:val="lrTb"/>
            <w:noWrap w:val="false"/>
          </w:tcPr>
          <w:p>
            <w:pPr>
              <w:pBdr/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/>
              <w:spacing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/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tbl>
      <w:tblPr>
        <w:tblStyle w:val="979"/>
        <w:tblInd w:w="83" w:type="dxa"/>
        <w:tblW w:w="147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single" w:color="cccccc" w:sz="8" w:space="0"/>
          <w:insideV w:val="single" w:color="cccccc" w:sz="8" w:space="0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3180"/>
        <w:gridCol w:w="4335"/>
        <w:gridCol w:w="1215"/>
        <w:gridCol w:w="1320"/>
        <w:gridCol w:w="1365"/>
        <w:gridCol w:w="1200"/>
      </w:tblGrid>
      <w:tr>
        <w:trPr>
          <w:trHeight w:val="16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0" w:left="3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Освіта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4" w:left="86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Забезпечення доступу до якісного та безпечного харчування у закладах освіти шляхом розвитку сучасної інфраструктури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їдалень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(харчоблоків)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98" w:left="1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Частка модернізованих </w:t>
            </w:r>
            <w:r>
              <w:rPr>
                <w:sz w:val="24"/>
                <w:szCs w:val="24"/>
              </w:rPr>
              <w:t xml:space="preserve">їдалень</w:t>
            </w:r>
            <w:r>
              <w:rPr>
                <w:sz w:val="24"/>
                <w:szCs w:val="24"/>
              </w:rPr>
              <w:t xml:space="preserve"> (харчоблоків) у закладах освіти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1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0" w:left="3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Освіта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31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3" w:left="34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Енергоефективність та енергонезалежність будівель закладів та установ освіти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3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98" w:left="1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Рівень зниження витрат на опалення та/або електроенергію після впровадження заходів з підвищення енергоефективності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75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8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0" w:left="3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Освіта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31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2" w:left="34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Реконструкція, відновлення, ремонт та нове будівництво інфраструктури закладів освіти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3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98" w:left="1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Рівень оновленої інфраструктури закладів освіти шляхом здійснення ремонтів, реконструкцій, модернізацій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1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0" w:left="3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Освіта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31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2" w:left="34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Створення умов для рівного доступу до освіти шляхом розвитку інфраструктури перевезень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3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98" w:left="16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Частка забезпечених підвезенням учнів серед тих, хто його потребує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67%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72%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87%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1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0" w:left="3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Освіта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31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247" w:hanging="1" w:left="269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Підвищення рівня протипожежної безпеки в закладах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56" w:lineRule="auto"/>
              <w:ind w:right="15" w:left="34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та установах освіти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43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98" w:left="16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Частка закладів освіти, які облаштовані системою протипожежного захисту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90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258" w:left="4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Пріоритетна галузь (сектор) для публічного інвестування –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Охорона здоров'я 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258" w:left="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Міністерство, відповідальне за галузь (сектор) для публічного інвестування 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Відділ соціального захисту населення та охорони здоров’я Менської міської ради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4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Граничний сукупний обсяг публічних інвестицій на середньостроковий період на галузь (сектор) - </w:t>
            </w:r>
            <w:r>
              <w:rPr>
                <w:b/>
                <w:bCs/>
                <w:sz w:val="24"/>
                <w:szCs w:val="24"/>
              </w:rPr>
              <w:t xml:space="preserve">48 500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тис. грн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/>
        <w:rPr>
          <w:b/>
          <w:bCs/>
          <w:color w:val="000000"/>
          <w:sz w:val="24"/>
          <w:szCs w:val="24"/>
          <w:shd w:val="clear" w:color="auto" w:fill="f4cccc"/>
        </w:rPr>
      </w:pPr>
      <w:r>
        <w:rPr>
          <w:b/>
          <w:bCs/>
          <w:color w:val="000000"/>
          <w:sz w:val="24"/>
          <w:szCs w:val="24"/>
          <w:shd w:val="clear" w:color="auto" w:fill="f4cccc"/>
        </w:rPr>
      </w:r>
      <w:r>
        <w:rPr>
          <w:b/>
          <w:bCs/>
          <w:color w:val="000000"/>
          <w:sz w:val="24"/>
          <w:szCs w:val="24"/>
          <w:shd w:val="clear" w:color="auto" w:fill="f4cccc"/>
        </w:rPr>
      </w:r>
      <w:r>
        <w:rPr>
          <w:b/>
          <w:bCs/>
          <w:color w:val="000000"/>
          <w:sz w:val="24"/>
          <w:szCs w:val="24"/>
          <w:shd w:val="clear" w:color="auto" w:fill="f4cccc"/>
        </w:rPr>
      </w:r>
    </w:p>
    <w:tbl>
      <w:tblPr>
        <w:tblStyle w:val="980"/>
        <w:tblInd w:w="83" w:type="dxa"/>
        <w:tblW w:w="1471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3180"/>
        <w:gridCol w:w="4335"/>
        <w:gridCol w:w="1215"/>
        <w:gridCol w:w="1320"/>
        <w:gridCol w:w="1365"/>
        <w:gridCol w:w="1200"/>
      </w:tblGrid>
      <w:tr>
        <w:trPr>
          <w:trHeight w:val="6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textDirection w:val="lrTb"/>
            <w:noWrap w:val="false"/>
          </w:tcPr>
          <w:p>
            <w:pPr>
              <w:pBdr/>
              <w:spacing w:before="100"/>
              <w:ind w:right="8" w:left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Підсектор</w:t>
            </w:r>
            <w:r>
              <w:rPr>
                <w:sz w:val="24"/>
                <w:szCs w:val="24"/>
              </w:rPr>
              <w:t xml:space="preserve"> галузі (сектору) для публічного інвестування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textDirection w:val="lrTb"/>
            <w:noWrap w:val="false"/>
          </w:tcPr>
          <w:p>
            <w:pPr>
              <w:pBdr/>
              <w:spacing w:before="100"/>
              <w:ind w:hanging="852" w:left="9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Основний напрям публічного інвестування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pBdr/>
              <w:spacing w:before="100"/>
              <w:ind w:right="863" w:hanging="756" w:left="16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Найменування цільового показника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15" w:type="dxa"/>
            <w:textDirection w:val="lrTb"/>
            <w:noWrap w:val="false"/>
          </w:tcPr>
          <w:p>
            <w:pPr>
              <w:pBdr/>
              <w:spacing w:before="100"/>
              <w:ind w:right="57" w:lef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Базове значення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/>
              <w:spacing w:before="100"/>
              <w:ind w:right="25" w:firstLine="175" w:lef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Планове значення на 2027 р.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65" w:type="dxa"/>
            <w:textDirection w:val="lrTb"/>
            <w:noWrap w:val="false"/>
          </w:tcPr>
          <w:p>
            <w:pPr>
              <w:pBdr/>
              <w:spacing w:before="100"/>
              <w:ind w:right="48" w:firstLine="175"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Планове значення на 2028 р.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00" w:type="dxa"/>
            <w:textDirection w:val="lrTb"/>
            <w:noWrap w:val="false"/>
          </w:tcPr>
          <w:p>
            <w:pPr>
              <w:pBdr/>
              <w:spacing w:before="100"/>
              <w:ind w:right="37" w:lef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Планове значення на 2029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00"/>
        </w:trPr>
        <w:tc>
          <w:tcPr>
            <w:tcBorders/>
            <w:tcW w:w="2100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9" w:left="3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Розбудова та модернізація системи охорони здоров'я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/>
            <w:tcW w:w="3180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83" w:hanging="1" w:left="205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Забезпечення доступу до якісної медичної допомоги шляхом розбудови й модернізації об'єктів медичної інфраструктури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/>
            <w:tcW w:w="4335" w:type="dxa"/>
            <w:textDirection w:val="lrTb"/>
            <w:noWrap w:val="false"/>
          </w:tcPr>
          <w:p>
            <w:pPr>
              <w:pBdr/>
              <w:spacing w:before="2"/>
              <w:ind w:right="83" w:lef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Рівень модернізації інфраструктури закладів охорони здоров’я громади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24,0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28,0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32,0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75,0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379"/>
        </w:trPr>
        <w:tc>
          <w:tcPr>
            <w:tcBorders/>
            <w:tcW w:w="210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318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43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7" w:left="153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Рівень забезпечення закладів охорони здоров'я транспортними засобами для надання медичної допомоги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1215" w:type="dxa"/>
            <w:textDirection w:val="lrTb"/>
            <w:noWrap w:val="false"/>
          </w:tcPr>
          <w:p>
            <w:pPr>
              <w:pBdr/>
              <w:spacing/>
              <w:ind w:right="60" w:lef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40,0 %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/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52,0 %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/>
              <w:spacing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65,0 %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/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65,0 %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103"/>
        </w:trPr>
        <w:tc>
          <w:tcPr>
            <w:tcBorders/>
            <w:tcW w:w="21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9" w:left="3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Розбудова та модернізація системи охорони здоров'я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/>
            <w:tcW w:w="31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46" w:hanging="1" w:left="168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Забезпечення медичних закладів сучасним обладнанням та медичними виробами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/>
            <w:tcW w:w="43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7" w:left="153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</w:t>
            </w:r>
            <w:r>
              <w:rPr>
                <w:color w:val="000000"/>
                <w:sz w:val="24"/>
                <w:szCs w:val="24"/>
              </w:rPr>
              <w:t xml:space="preserve">івен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color w:val="000000"/>
                <w:sz w:val="24"/>
                <w:szCs w:val="24"/>
              </w:rPr>
              <w:t xml:space="preserve"> оснащення закладів охорони здоров’я сучасним медичним обладнанням та технологіями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55,0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55,0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62,0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62,0 </w:t>
            </w:r>
            <w:r>
              <w:rPr>
                <w:color w:val="000000"/>
                <w:sz w:val="24"/>
                <w:szCs w:val="24"/>
              </w:rPr>
              <w:t xml:space="preserve">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103"/>
        </w:trPr>
        <w:tc>
          <w:tcPr>
            <w:gridSpan w:val="7"/>
            <w:tcBorders>
              <w:right w:val="single" w:color="000000" w:sz="4" w:space="0"/>
            </w:tcBorders>
            <w:tcW w:w="147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4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Пріоритетна галузь (сектор) для публічного інвестування – </w:t>
            </w:r>
            <w:r>
              <w:rPr>
                <w:b/>
                <w:bCs/>
                <w:sz w:val="24"/>
                <w:szCs w:val="24"/>
              </w:rPr>
              <w:t xml:space="preserve">Соціальна сфера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4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Міністерство, відповідальне за галузь (сектор) для публічного інвестування – </w:t>
            </w:r>
            <w:r>
              <w:rPr>
                <w:b/>
                <w:bCs/>
                <w:sz w:val="24"/>
                <w:szCs w:val="24"/>
              </w:rPr>
              <w:t xml:space="preserve">Відділ соціального захисту населення та охорони здоров’я Менської міської ради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Граничний сукупний обсяг публічних інвестицій на середньостроковий період на галузь (сектор) - </w:t>
            </w:r>
            <w:r>
              <w:rPr>
                <w:b/>
                <w:bCs/>
                <w:sz w:val="24"/>
                <w:szCs w:val="24"/>
              </w:rPr>
              <w:t xml:space="preserve">28 800,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00 тис. грн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453"/>
        </w:trPr>
        <w:tc>
          <w:tcPr>
            <w:tcBorders/>
            <w:tcW w:w="2100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9" w:left="3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Соціальні послуги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/>
            <w:tcW w:w="3180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46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46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46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Розвиток соціальної інфраструктури з урахуванням вимог безпеки, доступності та безперервності надання соціальних послуг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46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146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ffffff"/>
            <w:tcBorders/>
            <w:tcW w:w="4335" w:type="dxa"/>
            <w:textDirection w:val="lrTb"/>
            <w:noWrap w:val="false"/>
          </w:tcPr>
          <w:p>
            <w:pPr>
              <w:pBdr/>
              <w:spacing w:before="2"/>
              <w:ind w:right="83"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Рівень модернізації інфраструктури закладів соціального захисту громади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83" w:left="141"/>
              <w:jc w:val="both"/>
              <w:rPr>
                <w:color w:val="b90000"/>
                <w:sz w:val="24"/>
                <w:szCs w:val="24"/>
              </w:rPr>
            </w:pPr>
            <w:r>
              <w:rPr>
                <w:color w:val="b90000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b90000"/>
                <w:sz w:val="24"/>
                <w:szCs w:val="24"/>
              </w:rPr>
            </w:r>
            <w:r>
              <w:rPr>
                <w:color w:val="b9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</w:tcBorders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50%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70%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103"/>
        </w:trPr>
        <w:tc>
          <w:tcPr>
            <w:tcBorders/>
            <w:tcW w:w="210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318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43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83" w:left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Рівень забезпечення соціальним житлом осіб, які його потребують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20,0 %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33,3 %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50,0 %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103"/>
        </w:trPr>
        <w:tc>
          <w:tcPr>
            <w:tcBorders/>
            <w:tcW w:w="210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318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4335" w:type="dxa"/>
            <w:textDirection w:val="lrTb"/>
            <w:noWrap w:val="false"/>
          </w:tcPr>
          <w:p>
            <w:pPr>
              <w:widowControl w:val="true"/>
              <w:pBdr/>
              <w:spacing/>
              <w:ind w:right="83" w:left="141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Частка закладів соціального захисту, забезпечених найпростішими укриттями або спорудами цивільного захисту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/>
              <w:spacing/>
              <w:ind w:right="60" w:lef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103"/>
        </w:trPr>
        <w:tc>
          <w:tcPr>
            <w:tcBorders/>
            <w:tcW w:w="210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3180" w:type="dxa"/>
            <w:vMerge w:val="continue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4335" w:type="dxa"/>
            <w:textDirection w:val="lrTb"/>
            <w:noWrap w:val="false"/>
          </w:tcPr>
          <w:p>
            <w:pPr>
              <w:widowControl w:val="true"/>
              <w:pBdr/>
              <w:spacing/>
              <w:ind w:right="83" w:left="141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Частка придбаних спеціально обладнаних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widowControl w:val="true"/>
              <w:pBdr/>
              <w:spacing/>
              <w:ind w:right="83" w:left="141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автомобілів для перевезення осіб з інвалідністю та дітей з інвалідністю,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widowControl w:val="true"/>
              <w:pBdr/>
              <w:spacing/>
              <w:ind w:right="83" w:left="141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які мають порушення опорно-рухового апарату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</w:tcBorders>
            <w:tcW w:w="121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0 %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/>
              <w:spacing/>
              <w:ind w:right="60" w:left="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50,0 %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50,0 %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Bdr/>
        <w:spacing w:line="276" w:lineRule="auto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dt>
      <w:sdtPr>
        <w15:appearance w15:val="boundingBox"/>
        <w:id w:val="-1082415138"/>
        <w:lock w:val="contentLocked"/>
        <w:tag w:val="goog_rdk_1"/>
        <w:rPr/>
      </w:sdtPr>
      <w:sdtContent>
        <w:tbl>
          <w:tblPr>
            <w:tblStyle w:val="981"/>
            <w:tblInd w:w="83" w:type="dxa"/>
            <w:tblW w:w="14715" w:type="dxa"/>
            <w:tbl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  <w:insideH w:val="single" w:color="cccccc" w:sz="8" w:space="0"/>
              <w:insideV w:val="single" w:color="cccccc" w:sz="8" w:space="0"/>
            </w:tblBorders>
            <w:tblLayout w:type="fixed"/>
            <w:tblLook w:val="0000" w:firstRow="0" w:lastRow="0" w:firstColumn="0" w:lastColumn="0" w:noHBand="0" w:noVBand="0"/>
          </w:tblPr>
          <w:tblGrid>
            <w:gridCol w:w="2100"/>
            <w:gridCol w:w="3180"/>
            <w:gridCol w:w="4335"/>
            <w:gridCol w:w="1215"/>
            <w:gridCol w:w="1320"/>
            <w:gridCol w:w="1365"/>
            <w:gridCol w:w="1200"/>
          </w:tblGrid>
          <w:tr>
            <w:trPr>
              <w:trHeight w:val="855"/>
            </w:trPr>
            <w:tc>
              <w:tcPr>
                <w:gridSpan w:val="7"/>
                <w:tcBorders>
                  <w:bottom w:val="single" w:color="000000" w:sz="8" w:space="0"/>
                  <w:right w:val="single" w:color="000000" w:sz="8" w:space="0"/>
                </w:tcBorders>
                <w:tcW w:w="14715" w:type="dxa"/>
                <w:textDirection w:val="lrTb"/>
                <w:noWrap w:val="false"/>
              </w:tcPr>
              <w:p>
                <w:pPr>
                  <w:pBdr/>
                  <w:spacing/>
                  <w:ind w:right="-25" w:left="40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Пріоритетна галузь (сектор) для публічного інвестування – </w:t>
                </w:r>
                <w:r>
                  <w:rPr>
                    <w:b/>
                    <w:bCs/>
                    <w:sz w:val="24"/>
                    <w:szCs w:val="24"/>
                  </w:rPr>
                  <w:t xml:space="preserve">Транспорт та послуги поштового зв'язку </w:t>
                </w:r>
                <w:r>
                  <w:rPr>
                    <w:b/>
                    <w:bCs/>
                    <w:sz w:val="24"/>
                    <w:szCs w:val="24"/>
                  </w:rPr>
                </w:r>
                <w:r>
                  <w:rPr>
                    <w:b/>
                    <w:bCs/>
                    <w:sz w:val="24"/>
                    <w:szCs w:val="24"/>
                  </w:rPr>
                </w:r>
              </w:p>
              <w:p>
                <w:pPr>
                  <w:pBdr/>
                  <w:spacing/>
                  <w:ind w:right="-25" w:left="40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Міністерство, відповідальне за галузь (сектор) для публічного інвестування – </w:t>
                </w:r>
                <w:r>
                  <w:rPr>
                    <w:b/>
                    <w:bCs/>
                    <w:sz w:val="24"/>
                    <w:szCs w:val="24"/>
                  </w:rPr>
                  <w:t xml:space="preserve">Відділ архітектури та містобудування Менської міської ради</w:t>
                </w:r>
                <w:r>
                  <w:rPr>
                    <w:b/>
                    <w:bCs/>
                    <w:sz w:val="24"/>
                    <w:szCs w:val="24"/>
                  </w:rPr>
                </w:r>
                <w:r>
                  <w:rPr>
                    <w:b/>
                    <w:bCs/>
                    <w:sz w:val="24"/>
                    <w:szCs w:val="24"/>
                  </w:rPr>
                </w:r>
              </w:p>
              <w:p>
                <w:pPr>
                  <w:pBdr/>
                  <w:spacing/>
                  <w:ind w:left="40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Граничний сукупний обсяг публічних інвестицій на середньостроковий період на галузь (сектор) </w:t>
                </w:r>
                <w:r>
                  <w:rPr>
                    <w:b/>
                    <w:bCs/>
                    <w:sz w:val="24"/>
                    <w:szCs w:val="24"/>
                  </w:rPr>
                  <w:t xml:space="preserve">15 000 тис. грн</w:t>
                </w:r>
                <w:r>
                  <w:rPr>
                    <w:b/>
                    <w:bCs/>
                    <w:sz w:val="24"/>
                    <w:szCs w:val="24"/>
                  </w:rPr>
                </w:r>
                <w:r>
                  <w:rPr>
                    <w:b/>
                    <w:bCs/>
                    <w:sz w:val="24"/>
                    <w:szCs w:val="24"/>
                  </w:rPr>
                </w:r>
              </w:p>
            </w:tc>
          </w:tr>
          <w:tr>
            <w:trPr>
              <w:trHeight w:val="1103"/>
            </w:trPr>
            <w:tc>
              <w:tcPr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tcW w:w="2100" w:type="dxa"/>
                <w:textDirection w:val="lrTb"/>
                <w:noWrap w:val="false"/>
              </w:tcPr>
              <w:p>
                <w:pPr>
                  <w:pBdr/>
                  <w:spacing w:before="100"/>
                  <w:ind w:right="8" w:left="3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Підсектор галузі (сектору) для публічного інвестування</w:t>
                </w:r>
                <w:r>
                  <w:rPr>
                    <w:sz w:val="24"/>
                    <w:szCs w:val="24"/>
                  </w:rPr>
                </w:r>
                <w:r>
                  <w:rPr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tcW w:w="3180" w:type="dxa"/>
                <w:textDirection w:val="lrTb"/>
                <w:noWrap w:val="false"/>
              </w:tcPr>
              <w:p>
                <w:pPr>
                  <w:pBdr/>
                  <w:spacing w:before="100"/>
                  <w:ind w:hanging="852" w:left="923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Основний напрям публічного інвестування</w:t>
                </w:r>
                <w:r>
                  <w:rPr>
                    <w:sz w:val="24"/>
                    <w:szCs w:val="24"/>
                  </w:rPr>
                </w:r>
                <w:r>
                  <w:rPr>
                    <w:sz w:val="24"/>
                    <w:szCs w:val="24"/>
                  </w:rPr>
                </w:r>
              </w:p>
            </w:tc>
            <w:tc>
              <w:tcPr>
                <w:tcBorders>
                  <w:left w:val="single" w:color="000000" w:sz="4" w:space="0"/>
                </w:tcBorders>
                <w:tcW w:w="4335" w:type="dxa"/>
                <w:textDirection w:val="lrTb"/>
                <w:noWrap w:val="false"/>
              </w:tcPr>
              <w:p>
                <w:pPr>
                  <w:pBdr/>
                  <w:spacing w:before="100"/>
                  <w:ind w:right="863" w:hanging="756" w:left="1644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Найменування цільового показника</w:t>
                </w:r>
                <w:r>
                  <w:rPr>
                    <w:sz w:val="24"/>
                    <w:szCs w:val="24"/>
                  </w:rPr>
                </w:r>
                <w:r>
                  <w:rPr>
                    <w:sz w:val="24"/>
                    <w:szCs w:val="24"/>
                  </w:rPr>
                </w:r>
              </w:p>
            </w:tc>
            <w:tc>
              <w:tcPr>
                <w:tcBorders/>
                <w:tcW w:w="1215" w:type="dxa"/>
                <w:textDirection w:val="lrTb"/>
                <w:noWrap w:val="false"/>
              </w:tcPr>
              <w:p>
                <w:pPr>
                  <w:pBdr/>
                  <w:spacing w:before="100"/>
                  <w:ind w:right="57" w:left="79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Базове значення (%)</w:t>
                </w:r>
                <w:r>
                  <w:rPr>
                    <w:sz w:val="24"/>
                    <w:szCs w:val="24"/>
                  </w:rPr>
                </w:r>
                <w:r>
                  <w:rPr>
                    <w:sz w:val="24"/>
                    <w:szCs w:val="24"/>
                  </w:rPr>
                </w:r>
              </w:p>
            </w:tc>
            <w:tc>
              <w:tcPr>
                <w:tcBorders/>
                <w:tcW w:w="1320" w:type="dxa"/>
                <w:textDirection w:val="lrTb"/>
                <w:noWrap w:val="false"/>
              </w:tcPr>
              <w:p>
                <w:pPr>
                  <w:pBdr/>
                  <w:spacing w:before="100"/>
                  <w:ind w:right="25" w:firstLine="175" w:left="5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Планове значення на 2027 р. (%)</w:t>
                </w:r>
                <w:r>
                  <w:rPr>
                    <w:sz w:val="24"/>
                    <w:szCs w:val="24"/>
                  </w:rPr>
                </w:r>
                <w:r>
                  <w:rPr>
                    <w:sz w:val="24"/>
                    <w:szCs w:val="24"/>
                  </w:rPr>
                </w:r>
              </w:p>
            </w:tc>
            <w:tc>
              <w:tcPr>
                <w:tcBorders/>
                <w:tcW w:w="1365" w:type="dxa"/>
                <w:textDirection w:val="lrTb"/>
                <w:noWrap w:val="false"/>
              </w:tcPr>
              <w:p>
                <w:pPr>
                  <w:pBdr/>
                  <w:spacing w:before="100"/>
                  <w:ind w:right="48" w:firstLine="175" w:left="7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Планове значення на 2028 р. (%)</w:t>
                </w:r>
                <w:r>
                  <w:rPr>
                    <w:sz w:val="24"/>
                    <w:szCs w:val="24"/>
                  </w:rPr>
                </w:r>
                <w:r>
                  <w:rPr>
                    <w:sz w:val="24"/>
                    <w:szCs w:val="24"/>
                  </w:rPr>
                </w:r>
              </w:p>
            </w:tc>
            <w:tc>
              <w:tcPr>
                <w:tcBorders/>
                <w:tcW w:w="1200" w:type="dxa"/>
                <w:textDirection w:val="lrTb"/>
                <w:noWrap w:val="false"/>
              </w:tcPr>
              <w:p>
                <w:pPr>
                  <w:pBdr/>
                  <w:spacing w:before="100"/>
                  <w:ind w:right="37" w:left="59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Планове значення на 2029 (%)</w:t>
                </w:r>
                <w:r>
                  <w:rPr>
                    <w:sz w:val="24"/>
                    <w:szCs w:val="24"/>
                  </w:rPr>
                </w:r>
                <w:r>
                  <w:rPr>
                    <w:sz w:val="24"/>
                    <w:szCs w:val="24"/>
                  </w:rPr>
                </w:r>
              </w:p>
            </w:tc>
          </w:tr>
          <w:tr>
            <w:trPr>
              <w:trHeight w:val="1103"/>
            </w:trPr>
            <w:tc>
              <w:tcPr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tcW w:w="2100" w:type="dxa"/>
                <w:textDirection w:val="lrTb"/>
                <w:noWrap w:val="false"/>
              </w:tcPr>
              <w:p>
                <w:pPr>
                  <w:pBdr/>
                  <w:spacing/>
                  <w:ind w:right="8" w:left="30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Автомобільні дороги загального користування</w:t>
                </w:r>
                <w:r>
                  <w:rPr>
                    <w:sz w:val="24"/>
                    <w:szCs w:val="24"/>
                  </w:rPr>
                </w:r>
                <w:r>
                  <w:rPr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tcW w:w="3180" w:type="dxa"/>
                <w:textDirection w:val="lrTb"/>
                <w:noWrap w:val="false"/>
              </w:tcPr>
              <w:p>
                <w:pPr>
                  <w:pBdr/>
                  <w:spacing/>
                  <w:ind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Розбудова та відновлення інфраструктури автомобільних доріг комунальної власності на території Менської громади</w:t>
                </w:r>
                <w:r>
                  <w:rPr>
                    <w:sz w:val="24"/>
                    <w:szCs w:val="24"/>
                  </w:rPr>
                </w:r>
                <w:r>
                  <w:rPr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8" w:space="0"/>
                  <w:left w:val="single" w:color="000000" w:sz="4" w:space="0"/>
                  <w:bottom w:val="single" w:color="000000" w:sz="8" w:space="0"/>
                  <w:right w:val="single" w:color="000000" w:sz="8" w:space="0"/>
                </w:tcBorders>
                <w:tcW w:w="4335" w:type="dxa"/>
                <w:textDirection w:val="lrTb"/>
                <w:noWrap w:val="false"/>
              </w:tcPr>
              <w:p>
                <w:pPr>
                  <w:pBdr/>
                  <w:spacing/>
                  <w:ind w:right="198" w:left="76"/>
                  <w:jc w:val="both"/>
                  <w:rPr>
                    <w:sz w:val="20"/>
                    <w:szCs w:val="20"/>
                  </w:rPr>
                </w:pPr>
                <w:r>
                  <w:rPr>
                    <w:sz w:val="24"/>
                    <w:szCs w:val="24"/>
                  </w:rPr>
                  <w:t xml:space="preserve">Рівень розвитку транспортної інфраструктури Менської міської територіальної громади</w:t>
                </w:r>
                <w:r>
                  <w:rPr>
                    <w:sz w:val="20"/>
                    <w:szCs w:val="20"/>
                  </w:rPr>
                </w:r>
                <w:r>
                  <w:rPr>
                    <w:sz w:val="20"/>
                    <w:szCs w:val="20"/>
                  </w:rPr>
                </w:r>
              </w:p>
            </w:tc>
            <w:tc>
              <w:tcPr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tcW w:w="1215" w:type="dxa"/>
                <w:textDirection w:val="lrTb"/>
                <w:noWrap w:val="false"/>
              </w:tcPr>
              <w:p>
                <w:pPr>
                  <w:pBdr/>
                  <w:spacing/>
                  <w:ind w:right="60" w:left="79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17,0 %</w:t>
                </w:r>
                <w:r>
                  <w:rPr>
                    <w:sz w:val="24"/>
                    <w:szCs w:val="24"/>
                  </w:rPr>
                </w:r>
                <w:r>
                  <w:rPr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tcW w:w="1320" w:type="dxa"/>
                <w:textDirection w:val="lrTb"/>
                <w:noWrap w:val="false"/>
              </w:tcPr>
              <w:p>
                <w:pPr>
                  <w:pBdr/>
                  <w:spacing/>
                  <w:ind w:left="19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20,0 %</w:t>
                </w:r>
                <w:r>
                  <w:rPr>
                    <w:sz w:val="24"/>
                    <w:szCs w:val="24"/>
                  </w:rPr>
                </w:r>
                <w:r>
                  <w:rPr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left w:val="single" w:color="000000" w:sz="8" w:space="0"/>
                  <w:bottom w:val="single" w:color="000000" w:sz="6" w:space="0"/>
                  <w:right w:val="single" w:color="000000" w:sz="4" w:space="0"/>
                </w:tcBorders>
                <w:tcW w:w="1365" w:type="dxa"/>
                <w:textDirection w:val="lrTb"/>
                <w:noWrap w:val="false"/>
              </w:tcPr>
              <w:p>
                <w:pPr>
                  <w:pBdr/>
                  <w:spacing/>
                  <w:ind w:left="14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24,0 %</w:t>
                </w:r>
                <w:r>
                  <w:rPr>
                    <w:sz w:val="24"/>
                    <w:szCs w:val="24"/>
                  </w:rPr>
                </w:r>
                <w:r>
                  <w:rPr>
                    <w:sz w:val="24"/>
                    <w:szCs w:val="24"/>
                  </w:rPr>
                </w:r>
              </w:p>
            </w:tc>
            <w:tc>
              <w:tcPr>
                <w:tcBorders>
                  <w:top w:val="single" w:color="000000" w:sz="6" w:space="0"/>
                  <w:left w:val="single" w:color="000000" w:sz="4" w:space="0"/>
                  <w:bottom w:val="single" w:color="000000" w:sz="6" w:space="0"/>
                  <w:right w:val="single" w:color="000000" w:sz="4" w:space="0"/>
                </w:tcBorders>
                <w:tcW w:w="1200" w:type="dxa"/>
                <w:textDirection w:val="lrTb"/>
                <w:noWrap w:val="false"/>
              </w:tcPr>
              <w:p>
                <w:pPr>
                  <w:pBdr/>
                  <w:spacing/>
                  <w:ind w:left="19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30,0 %</w:t>
                </w:r>
                <w:r>
                  <w:rPr>
                    <w:sz w:val="24"/>
                    <w:szCs w:val="24"/>
                  </w:rPr>
                </w:r>
                <w:r>
                  <w:rPr>
                    <w:sz w:val="24"/>
                    <w:szCs w:val="24"/>
                  </w:rPr>
                </w:r>
              </w:p>
            </w:tc>
          </w:tr>
        </w:tbl>
      </w:sdtContent>
    </w:sdt>
    <w:p>
      <w:pPr>
        <w:pBdr/>
        <w:spacing w:line="276" w:lineRule="auto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982"/>
        <w:tblInd w:w="83" w:type="dxa"/>
        <w:tblW w:w="1471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3180"/>
        <w:gridCol w:w="4335"/>
        <w:gridCol w:w="1215"/>
        <w:gridCol w:w="1320"/>
        <w:gridCol w:w="1365"/>
        <w:gridCol w:w="1200"/>
      </w:tblGrid>
      <w:tr>
        <w:trPr>
          <w:trHeight w:val="975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15" w:type="dxa"/>
            <w:textDirection w:val="lrTb"/>
            <w:noWrap w:val="false"/>
          </w:tcPr>
          <w:p>
            <w:pPr>
              <w:pBdr/>
              <w:spacing/>
              <w:ind w:right="116" w:left="4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Пріоритетна галузь (сектор) для публічного інвестування –</w:t>
            </w:r>
            <w:r>
              <w:rPr>
                <w:b/>
                <w:bCs/>
                <w:sz w:val="24"/>
                <w:szCs w:val="24"/>
              </w:rPr>
              <w:t xml:space="preserve">Спорт, фізичне та молодіжне виховання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 w:right="116" w:left="4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Міністерство, відповідальне за галузь (сектор) для публічного інвестування – </w:t>
            </w:r>
            <w:r>
              <w:rPr>
                <w:b/>
                <w:bCs/>
                <w:sz w:val="24"/>
                <w:szCs w:val="24"/>
              </w:rPr>
              <w:t xml:space="preserve">сектор фізичної культури та </w:t>
            </w:r>
            <w:r>
              <w:rPr>
                <w:b/>
                <w:bCs/>
                <w:sz w:val="24"/>
                <w:szCs w:val="24"/>
              </w:rPr>
              <w:t xml:space="preserve">споту</w:t>
            </w:r>
            <w:r>
              <w:rPr>
                <w:b/>
                <w:bCs/>
                <w:sz w:val="24"/>
                <w:szCs w:val="24"/>
              </w:rPr>
              <w:t xml:space="preserve"> Менської міської ради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Граничний сукупний обсяг публічних інвестицій на середньостроковий період на галузь (сектор) –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 60 000  тис. грн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2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textDirection w:val="lrTb"/>
            <w:noWrap w:val="false"/>
          </w:tcPr>
          <w:p>
            <w:pPr>
              <w:pBdr/>
              <w:spacing w:before="100"/>
              <w:ind w:right="8" w:left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Підсектор</w:t>
            </w:r>
            <w:r>
              <w:rPr>
                <w:sz w:val="24"/>
                <w:szCs w:val="24"/>
              </w:rPr>
              <w:t xml:space="preserve"> галузі (сектору) для публічного інвестування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textDirection w:val="lrTb"/>
            <w:noWrap w:val="false"/>
          </w:tcPr>
          <w:p>
            <w:pPr>
              <w:pBdr/>
              <w:spacing w:before="100"/>
              <w:ind w:hanging="852" w:left="9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Основний напрям публічного інвестування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pBdr/>
              <w:spacing w:before="100"/>
              <w:ind w:right="863" w:hanging="756" w:left="16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Найменування цільового показника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15" w:type="dxa"/>
            <w:textDirection w:val="lrTb"/>
            <w:noWrap w:val="false"/>
          </w:tcPr>
          <w:p>
            <w:pPr>
              <w:pBdr/>
              <w:spacing w:before="100"/>
              <w:ind w:right="57" w:lef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Базове значення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/>
              <w:spacing w:before="100"/>
              <w:ind w:right="25" w:firstLine="175" w:lef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Планове значення на 2027 р.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65" w:type="dxa"/>
            <w:textDirection w:val="lrTb"/>
            <w:noWrap w:val="false"/>
          </w:tcPr>
          <w:p>
            <w:pPr>
              <w:pBdr/>
              <w:spacing w:before="100"/>
              <w:ind w:right="48" w:firstLine="175"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Планове значення на 2028 р.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00" w:type="dxa"/>
            <w:textDirection w:val="lrTb"/>
            <w:noWrap w:val="false"/>
          </w:tcPr>
          <w:p>
            <w:pPr>
              <w:pBdr/>
              <w:spacing w:before="100"/>
              <w:ind w:right="37" w:lef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Планове значення на 2029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textDirection w:val="lrTb"/>
            <w:noWrap w:val="false"/>
          </w:tcPr>
          <w:p>
            <w:pPr>
              <w:pBdr/>
              <w:spacing/>
              <w:ind w:hanging="349" w:left="515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Спорт та фізичне виховання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textDirection w:val="lrTb"/>
            <w:noWrap w:val="false"/>
          </w:tcPr>
          <w:p>
            <w:pPr>
              <w:pBdr/>
              <w:spacing/>
              <w:ind w:right="168" w:left="189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Створення та розвиток мережі об’єктів спортивної інфраструктури з урахуванням вимог доступності та безпеки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pBdr/>
              <w:spacing/>
              <w:ind w:right="137" w:left="159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Рівень забезпечення Менської міської територіальної громади сучасною та доступною спортивною інфраструктурою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Bdr/>
              <w:spacing/>
              <w:ind w:right="137"/>
              <w:jc w:val="both"/>
              <w:rPr>
                <w:color w:val="b90000"/>
                <w:sz w:val="24"/>
                <w:szCs w:val="24"/>
                <w:highlight w:val="white"/>
              </w:rPr>
            </w:pPr>
            <w:r>
              <w:rPr>
                <w:color w:val="b90000"/>
                <w:sz w:val="24"/>
                <w:szCs w:val="24"/>
                <w:highlight w:val="white"/>
              </w:rPr>
            </w:r>
            <w:r>
              <w:rPr>
                <w:color w:val="b90000"/>
                <w:sz w:val="24"/>
                <w:szCs w:val="24"/>
                <w:highlight w:val="white"/>
              </w:rPr>
            </w:r>
            <w:r>
              <w:rPr>
                <w:color w:val="b90000"/>
                <w:sz w:val="24"/>
                <w:szCs w:val="24"/>
                <w:highlight w:val="white"/>
              </w:rPr>
            </w:r>
          </w:p>
          <w:p>
            <w:pPr>
              <w:pBdr/>
              <w:spacing/>
              <w:ind w:right="137"/>
              <w:jc w:val="both"/>
              <w:rPr>
                <w:color w:val="b90000"/>
                <w:sz w:val="24"/>
                <w:szCs w:val="24"/>
                <w:highlight w:val="white"/>
              </w:rPr>
            </w:pPr>
            <w:r>
              <w:rPr>
                <w:color w:val="b90000"/>
                <w:sz w:val="24"/>
                <w:szCs w:val="24"/>
                <w:highlight w:val="white"/>
              </w:rPr>
            </w:r>
            <w:r>
              <w:rPr>
                <w:color w:val="b90000"/>
                <w:sz w:val="24"/>
                <w:szCs w:val="24"/>
                <w:highlight w:val="white"/>
              </w:rPr>
            </w:r>
            <w:r>
              <w:rPr>
                <w:color w:val="b9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" w:type="dxa"/>
            <w:textDirection w:val="lrTb"/>
            <w:noWrap w:val="false"/>
          </w:tcPr>
          <w:p>
            <w:pPr>
              <w:pBdr/>
              <w:spacing/>
              <w:ind w:right="60" w:lef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0" w:type="dxa"/>
            <w:textDirection w:val="lrTb"/>
            <w:noWrap w:val="false"/>
          </w:tcPr>
          <w:p>
            <w:pPr>
              <w:pBdr/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/>
              <w:spacing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/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 w:after="1" w:before="93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Style w:val="983"/>
        <w:tblInd w:w="83" w:type="dxa"/>
        <w:tblW w:w="1471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3180"/>
        <w:gridCol w:w="4335"/>
        <w:gridCol w:w="1215"/>
        <w:gridCol w:w="1320"/>
        <w:gridCol w:w="1365"/>
        <w:gridCol w:w="1200"/>
      </w:tblGrid>
      <w:tr>
        <w:trPr>
          <w:trHeight w:val="870"/>
        </w:trPr>
        <w:tc>
          <w:tcPr>
            <w:gridSpan w:val="7"/>
            <w:tcBorders>
              <w:left w:val="single" w:color="cccccc" w:sz="8" w:space="0"/>
            </w:tcBorders>
            <w:tcW w:w="14715" w:type="dxa"/>
            <w:textDirection w:val="lrTb"/>
            <w:noWrap w:val="false"/>
          </w:tcPr>
          <w:p>
            <w:pPr>
              <w:pBdr/>
              <w:spacing/>
              <w:ind w:right="-25" w:left="4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Пріоритетна галузь (сектор) для публічного інвестування – </w:t>
            </w:r>
            <w:r>
              <w:rPr>
                <w:b/>
                <w:bCs/>
                <w:sz w:val="24"/>
                <w:szCs w:val="24"/>
              </w:rPr>
              <w:t xml:space="preserve">Культура та інформація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 w:right="-25" w:left="4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Міністерство, відповідальне за галузь (сектор) для публічного інвестування – </w:t>
            </w:r>
            <w:r>
              <w:rPr>
                <w:b/>
                <w:bCs/>
                <w:sz w:val="24"/>
                <w:szCs w:val="24"/>
              </w:rPr>
              <w:t xml:space="preserve">Відділ культури Менської міської ради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 w:left="4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Граничний сукупний обсяг публічних інвестицій на середньостроковий період на галузь (сектор) –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 50 000 тис. грн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rPr>
          <w:trHeight w:val="18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textDirection w:val="lrTb"/>
            <w:noWrap w:val="false"/>
          </w:tcPr>
          <w:p>
            <w:pPr>
              <w:pBdr/>
              <w:spacing w:before="100"/>
              <w:ind w:right="8" w:left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Підсектор</w:t>
            </w:r>
            <w:r>
              <w:rPr>
                <w:sz w:val="24"/>
                <w:szCs w:val="24"/>
              </w:rPr>
              <w:t xml:space="preserve"> галузі (сектору) для публічного інвестування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textDirection w:val="lrTb"/>
            <w:noWrap w:val="false"/>
          </w:tcPr>
          <w:p>
            <w:pPr>
              <w:pBdr/>
              <w:spacing w:before="100"/>
              <w:ind w:hanging="852" w:left="9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Основний напрям публічного інвестування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pBdr/>
              <w:spacing w:before="100"/>
              <w:ind w:right="863" w:hanging="756" w:left="16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Найменування цільового показника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15" w:type="dxa"/>
            <w:textDirection w:val="lrTb"/>
            <w:noWrap w:val="false"/>
          </w:tcPr>
          <w:p>
            <w:pPr>
              <w:pBdr/>
              <w:spacing w:before="100"/>
              <w:ind w:right="57" w:lef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Базове значення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/>
              <w:spacing w:before="100"/>
              <w:ind w:right="25" w:firstLine="175" w:lef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Планове значення на 2027 р.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65" w:type="dxa"/>
            <w:textDirection w:val="lrTb"/>
            <w:noWrap w:val="false"/>
          </w:tcPr>
          <w:p>
            <w:pPr>
              <w:pBdr/>
              <w:spacing w:before="100"/>
              <w:ind w:right="48" w:firstLine="175"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Планове значення на 2028 р.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00" w:type="dxa"/>
            <w:textDirection w:val="lrTb"/>
            <w:noWrap w:val="false"/>
          </w:tcPr>
          <w:p>
            <w:pPr>
              <w:pBdr/>
              <w:spacing w:before="100"/>
              <w:ind w:right="37" w:lef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Планове значення на 2029 (%)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1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vMerge w:val="restart"/>
            <w:textDirection w:val="lrTb"/>
            <w:noWrap w:val="false"/>
          </w:tcPr>
          <w:p>
            <w:pPr>
              <w:pBdr/>
              <w:spacing/>
              <w:ind w:right="386" w:hanging="1" w:left="4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Культурні послуги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vMerge w:val="restart"/>
            <w:textDirection w:val="lrTb"/>
            <w:noWrap w:val="false"/>
          </w:tcPr>
          <w:p>
            <w:pPr>
              <w:pBdr/>
              <w:spacing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Відновлення доступу громадян до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якісних культурних послуг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шляхом трансформації застарілих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закладів культури у сучасний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багатофункціональний Центр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культурних послуг (ЦКП), що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передбачає модернізацію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інфраструктури, орієнтованої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захист населення в умовах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надзвичайних ситуацій,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оновлення матеріально-технічної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бази, створення інклюзивних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просторів та впровадження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новітніх європейських стандартів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обслуговування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93" w:lef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pBdr/>
              <w:spacing w:after="20" w:before="20"/>
              <w:ind w:right="210" w:firstLine="11" w:left="1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Рівень виконання заходів із трансформації комунальних закладів культури у комунальний заклад Центр культурних послуг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210" w:firstLine="11" w:left="1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15" w:type="dxa"/>
            <w:textDirection w:val="lrTb"/>
            <w:noWrap w:val="false"/>
          </w:tcPr>
          <w:p>
            <w:pPr>
              <w:pBdr/>
              <w:spacing/>
              <w:ind w:right="60" w:lef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/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65" w:type="dxa"/>
            <w:textDirection w:val="lrTb"/>
            <w:noWrap w:val="false"/>
          </w:tcPr>
          <w:p>
            <w:pPr>
              <w:pBdr/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00" w:type="dxa"/>
            <w:textDirection w:val="lrTb"/>
            <w:noWrap w:val="false"/>
          </w:tcPr>
          <w:p>
            <w:pPr>
              <w:pBdr/>
              <w:spacing/>
              <w:ind w:right="40" w:lef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vMerge w:val="continue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color w:val="b90000"/>
                <w:sz w:val="24"/>
                <w:szCs w:val="24"/>
              </w:rPr>
            </w:pPr>
            <w:r>
              <w:rPr>
                <w:color w:val="b90000"/>
                <w:sz w:val="24"/>
                <w:szCs w:val="24"/>
              </w:rPr>
            </w:r>
            <w:r>
              <w:rPr>
                <w:color w:val="b90000"/>
                <w:sz w:val="24"/>
                <w:szCs w:val="24"/>
              </w:rPr>
            </w:r>
            <w:r>
              <w:rPr>
                <w:color w:val="b9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vMerge w:val="continue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color w:val="b90000"/>
                <w:sz w:val="24"/>
                <w:szCs w:val="24"/>
              </w:rPr>
            </w:pPr>
            <w:r>
              <w:rPr>
                <w:color w:val="b90000"/>
                <w:sz w:val="24"/>
                <w:szCs w:val="24"/>
              </w:rPr>
            </w:r>
            <w:r>
              <w:rPr>
                <w:color w:val="b90000"/>
                <w:sz w:val="24"/>
                <w:szCs w:val="24"/>
              </w:rPr>
            </w:r>
            <w:r>
              <w:rPr>
                <w:color w:val="b9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widowControl w:val="true"/>
              <w:pBdr/>
              <w:spacing/>
              <w:ind w:right="210" w:firstLine="11" w:left="153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Рівень забезпечення Центру культурних послуг сучасною матеріально-технічною базою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/>
            <w:tcW w:w="1215" w:type="dxa"/>
            <w:textDirection w:val="lrTb"/>
            <w:noWrap w:val="false"/>
          </w:tcPr>
          <w:p>
            <w:pPr>
              <w:pBdr/>
              <w:spacing/>
              <w:ind w:right="60" w:lef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20" w:type="dxa"/>
            <w:textDirection w:val="lrTb"/>
            <w:noWrap w:val="false"/>
          </w:tcPr>
          <w:p>
            <w:pPr>
              <w:pBdr/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65" w:type="dxa"/>
            <w:textDirection w:val="lrTb"/>
            <w:noWrap w:val="false"/>
          </w:tcPr>
          <w:p>
            <w:pPr>
              <w:pBdr/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00" w:type="dxa"/>
            <w:textDirection w:val="lrTb"/>
            <w:noWrap w:val="false"/>
          </w:tcPr>
          <w:p>
            <w:pPr>
              <w:pBdr/>
              <w:spacing/>
              <w:ind w:right="40" w:lef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1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vMerge w:val="continue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color w:val="b90000"/>
                <w:sz w:val="24"/>
                <w:szCs w:val="24"/>
              </w:rPr>
            </w:pPr>
            <w:r>
              <w:rPr>
                <w:color w:val="b90000"/>
                <w:sz w:val="24"/>
                <w:szCs w:val="24"/>
              </w:rPr>
            </w:r>
            <w:r>
              <w:rPr>
                <w:color w:val="b90000"/>
                <w:sz w:val="24"/>
                <w:szCs w:val="24"/>
              </w:rPr>
            </w:r>
            <w:r>
              <w:rPr>
                <w:color w:val="b9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vMerge w:val="continue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color w:val="b90000"/>
                <w:sz w:val="24"/>
                <w:szCs w:val="24"/>
              </w:rPr>
            </w:pPr>
            <w:r>
              <w:rPr>
                <w:color w:val="b90000"/>
                <w:sz w:val="24"/>
                <w:szCs w:val="24"/>
              </w:rPr>
            </w:r>
            <w:r>
              <w:rPr>
                <w:color w:val="b90000"/>
                <w:sz w:val="24"/>
                <w:szCs w:val="24"/>
              </w:rPr>
            </w:r>
            <w:r>
              <w:rPr>
                <w:color w:val="b9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widowControl w:val="true"/>
              <w:pBdr/>
              <w:spacing/>
              <w:ind w:right="210" w:firstLine="11" w:left="153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Рівень забезпечення </w:t>
            </w:r>
            <w:r>
              <w:rPr>
                <w:sz w:val="24"/>
                <w:szCs w:val="24"/>
                <w:highlight w:val="white"/>
              </w:rPr>
              <w:t xml:space="preserve">безбар'єрності</w:t>
            </w:r>
            <w:r>
              <w:rPr>
                <w:sz w:val="24"/>
                <w:szCs w:val="24"/>
                <w:highlight w:val="white"/>
              </w:rPr>
              <w:t xml:space="preserve"> Центру культурних послуг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1215" w:type="dxa"/>
            <w:textDirection w:val="lrTb"/>
            <w:noWrap w:val="false"/>
          </w:tcPr>
          <w:p>
            <w:pPr>
              <w:pBdr/>
              <w:spacing/>
              <w:ind w:right="60" w:lef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1320" w:type="dxa"/>
            <w:textDirection w:val="lrTb"/>
            <w:noWrap w:val="false"/>
          </w:tcPr>
          <w:p>
            <w:pPr>
              <w:pBdr/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/>
              <w:spacing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/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1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00" w:type="dxa"/>
            <w:vMerge w:val="continue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color w:val="b90000"/>
                <w:sz w:val="24"/>
                <w:szCs w:val="24"/>
              </w:rPr>
            </w:pPr>
            <w:r>
              <w:rPr>
                <w:color w:val="b90000"/>
                <w:sz w:val="24"/>
                <w:szCs w:val="24"/>
              </w:rPr>
            </w:r>
            <w:r>
              <w:rPr>
                <w:color w:val="b90000"/>
                <w:sz w:val="24"/>
                <w:szCs w:val="24"/>
              </w:rPr>
            </w:r>
            <w:r>
              <w:rPr>
                <w:color w:val="b9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80" w:type="dxa"/>
            <w:vMerge w:val="continue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color w:val="b90000"/>
                <w:sz w:val="24"/>
                <w:szCs w:val="24"/>
              </w:rPr>
            </w:pPr>
            <w:r>
              <w:rPr>
                <w:color w:val="b90000"/>
                <w:sz w:val="24"/>
                <w:szCs w:val="24"/>
              </w:rPr>
            </w:r>
            <w:r>
              <w:rPr>
                <w:color w:val="b90000"/>
                <w:sz w:val="24"/>
                <w:szCs w:val="24"/>
              </w:rPr>
            </w:r>
            <w:r>
              <w:rPr>
                <w:color w:val="b9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335" w:type="dxa"/>
            <w:textDirection w:val="lrTb"/>
            <w:noWrap w:val="false"/>
          </w:tcPr>
          <w:p>
            <w:pPr>
              <w:widowControl w:val="true"/>
              <w:pBdr/>
              <w:spacing/>
              <w:ind w:right="210" w:firstLine="11" w:left="153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Рівень впровадження сучасних стандартів надання культурних послуг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5" w:type="dxa"/>
            <w:textDirection w:val="lrTb"/>
            <w:noWrap w:val="false"/>
          </w:tcPr>
          <w:p>
            <w:pPr>
              <w:pBdr/>
              <w:spacing/>
              <w:ind w:right="60" w:left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0" w:type="dxa"/>
            <w:textDirection w:val="lrTb"/>
            <w:noWrap w:val="false"/>
          </w:tcPr>
          <w:p>
            <w:pPr>
              <w:pBdr/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5" w:type="dxa"/>
            <w:textDirection w:val="lrTb"/>
            <w:noWrap w:val="false"/>
          </w:tcPr>
          <w:p>
            <w:pPr>
              <w:pBdr/>
              <w:spacing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0" w:type="dxa"/>
            <w:textDirection w:val="lrTb"/>
            <w:noWrap w:val="false"/>
          </w:tcPr>
          <w:p>
            <w:pPr>
              <w:pBdr/>
              <w:spacing/>
              <w:ind w:lef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40%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 w:line="276" w:lineRule="auto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 w:line="276" w:lineRule="auto"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line="276" w:lineRule="auto"/>
        <w:ind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Начальник Фінансового управління 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Bdr/>
        <w:spacing w:line="276" w:lineRule="auto"/>
        <w:ind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Менської міської ради                                                                                                                    Алла НЕРОСЛИК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sectPr>
      <w:footerReference w:type="default" r:id="rId11"/>
      <w:footnotePr/>
      <w:endnotePr/>
      <w:type w:val="nextPage"/>
      <w:pgSz w:h="11910" w:orient="landscape" w:w="16840"/>
      <w:pgMar w:top="1280" w:right="708" w:bottom="1200" w:left="1275" w:header="0" w:footer="986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Calibri">
    <w:panose1 w:val="020F0502020204030204"/>
  </w:font>
  <w:font w:name="Georgia">
    <w:panose1 w:val="02040502050405020303"/>
  </w:font>
  <w:font w:name="Arial">
    <w:panose1 w:val="020B060402020202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14" w:lineRule="auto"/>
      <w:ind/>
      <w:rPr>
        <w:color w:val="000000"/>
        <w:sz w:val="20"/>
        <w:szCs w:val="2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<wp:simplePos x="0" y="0"/>
              <wp:positionH relativeFrom="column">
                <wp:posOffset>6089333</wp:posOffset>
              </wp:positionH>
              <wp:positionV relativeFrom="paragraph">
                <wp:posOffset>2979159</wp:posOffset>
              </wp:positionV>
              <wp:extent cx="179070" cy="184150"/>
              <wp:effectExtent l="0" t="0" r="0" b="0"/>
              <wp:wrapNone/>
              <wp:docPr id="1" name="Прямокут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5265990" y="369745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 w:line="243" w:lineRule="auto"/>
                            <w:ind w:firstLine="120" w:left="60"/>
                            <w:rPr/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</w:rPr>
                            <w:t xml:space="preserve">1</w:t>
                          </w:r>
                          <w:r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51658240;o:allowoverlap:true;o:allowincell:true;mso-position-horizontal-relative:text;margin-left:479.48pt;mso-position-horizontal:absolute;mso-position-vertical-relative:text;margin-top:234.58pt;mso-position-vertical:absolute;width:14.10pt;height:14.50pt;mso-wrap-distance-left:0.00pt;mso-wrap-distance-top:0.00pt;mso-wrap-distance-right:0.00pt;mso-wrap-distance-bottom:0.00pt;v-text-anchor:top;visibility:visible;" filled="f" stroked="f">
              <v:textbox inset="0,0,0,0">
                <w:txbxContent>
                  <w:p>
                    <w:pPr>
                      <w:pBdr/>
                      <w:spacing w:line="243" w:lineRule="auto"/>
                      <w:ind w:firstLine="120" w:left="60"/>
                      <w:rPr/>
                    </w:pPr>
                    <w:r>
                      <w:rPr>
                        <w:rFonts w:ascii="Calibri" w:hAnsi="Calibri" w:eastAsia="Calibri" w:cs="Calibri"/>
                        <w:color w:val="000000"/>
                      </w:rPr>
                      <w:t xml:space="preserve">1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color w:val="000000"/>
        <w:sz w:val="20"/>
        <w:szCs w:val="20"/>
      </w:rPr>
    </w:r>
    <w:r>
      <w:rPr>
        <w:color w:val="000000"/>
        <w:sz w:val="20"/>
        <w:szCs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line="14" w:lineRule="auto"/>
      <w:ind/>
      <w:rPr>
        <w:color w:val="000000"/>
        <w:sz w:val="20"/>
        <w:szCs w:val="20"/>
      </w:rPr>
    </w:pPr>
    <w:r>
      <w:rPr>
        <w:color w:val="000000"/>
        <w:sz w:val="20"/>
        <w:szCs w:val="20"/>
      </w:rPr>
    </w:r>
    <w:r>
      <w:rPr>
        <w:color w:val="000000"/>
        <w:sz w:val="20"/>
        <w:szCs w:val="20"/>
      </w:rPr>
    </w:r>
    <w:r>
      <w:rPr>
        <w:color w:val="000000"/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4"/>
      <w:pBdr/>
      <w:spacing/>
      <w:ind/>
      <w:jc w:val="center"/>
      <w:rPr/>
    </w:pPr>
    <w:r>
      <w:rPr>
        <w:highlight w:val="none"/>
      </w:rPr>
    </w:r>
    <w:r>
      <w:rPr>
        <w:highlight w:val="none"/>
      </w:rPr>
    </w:r>
    <w:r/>
  </w:p>
  <w:p>
    <w:pPr>
      <w:pStyle w:val="984"/>
      <w:pBdr/>
      <w:spacing/>
      <w:ind/>
      <w:jc w:val="center"/>
      <w:rPr>
        <w:highlight w:val="none"/>
      </w:rPr>
    </w:pPr>
    <w:r>
      <w:rPr>
        <w:highlight w:val="none"/>
      </w:rPr>
    </w:r>
    <w:r>
      <w:rPr>
        <w:highlight w:val="none"/>
      </w:rPr>
    </w:r>
    <w:r>
      <w:rPr>
        <w:highlight w:val="none"/>
      </w:rPr>
    </w:r>
  </w:p>
  <w:p>
    <w:pPr>
      <w:pStyle w:val="984"/>
      <w:pBdr/>
      <w:spacing/>
      <w:ind/>
      <w:jc w:val="center"/>
      <w:rPr>
        <w:highlight w:val="none"/>
      </w:rPr>
    </w:pPr>
    <w:r>
      <w:t xml:space="preserve">                                                     </w:t>
    </w:r>
    <w:fldSimple w:instr="PAGE \* MERGEFORMAT">
      <w:r>
        <w:t xml:space="preserve">1</w:t>
      </w:r>
    </w:fldSimple>
    <w:r/>
    <w:r>
      <w:t xml:space="preserve">                         продовження додатка</w:t>
    </w:r>
    <w:r>
      <w:rPr>
        <w:highlight w:val="none"/>
      </w:rPr>
    </w:r>
  </w:p>
  <w:p>
    <w:pPr>
      <w:pStyle w:val="98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360" w:left="6480"/>
      </w:pPr>
      <w:rPr>
        <w:u w:val="no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360" w:left="720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360" w:left="6480"/>
      </w:pPr>
      <w:rPr>
        <w:u w:val="no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360" w:left="7200"/>
      </w:pPr>
      <w:rPr>
        <w:u w:val="none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uk" w:eastAsia="uk-UA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85">
    <w:name w:val="toc 1"/>
    <w:basedOn w:val="961"/>
    <w:next w:val="961"/>
    <w:uiPriority w:val="39"/>
    <w:unhideWhenUsed/>
    <w:pPr>
      <w:pBdr/>
      <w:spacing w:after="100"/>
      <w:ind/>
    </w:pPr>
  </w:style>
  <w:style w:type="paragraph" w:styleId="786">
    <w:name w:val="toc 2"/>
    <w:basedOn w:val="961"/>
    <w:next w:val="961"/>
    <w:uiPriority w:val="39"/>
    <w:unhideWhenUsed/>
    <w:pPr>
      <w:pBdr/>
      <w:spacing w:after="100"/>
      <w:ind w:left="220"/>
    </w:pPr>
  </w:style>
  <w:style w:type="paragraph" w:styleId="787">
    <w:name w:val="toc 3"/>
    <w:basedOn w:val="961"/>
    <w:next w:val="961"/>
    <w:uiPriority w:val="39"/>
    <w:unhideWhenUsed/>
    <w:pPr>
      <w:pBdr/>
      <w:spacing w:after="100"/>
      <w:ind w:left="440"/>
    </w:pPr>
  </w:style>
  <w:style w:type="paragraph" w:styleId="788">
    <w:name w:val="toc 4"/>
    <w:basedOn w:val="961"/>
    <w:next w:val="961"/>
    <w:uiPriority w:val="39"/>
    <w:unhideWhenUsed/>
    <w:pPr>
      <w:pBdr/>
      <w:spacing w:after="100"/>
      <w:ind w:left="660"/>
    </w:pPr>
  </w:style>
  <w:style w:type="paragraph" w:styleId="789">
    <w:name w:val="toc 5"/>
    <w:basedOn w:val="961"/>
    <w:next w:val="961"/>
    <w:uiPriority w:val="39"/>
    <w:unhideWhenUsed/>
    <w:pPr>
      <w:pBdr/>
      <w:spacing w:after="100"/>
      <w:ind w:left="880"/>
    </w:pPr>
  </w:style>
  <w:style w:type="paragraph" w:styleId="790">
    <w:name w:val="toc 6"/>
    <w:basedOn w:val="961"/>
    <w:next w:val="961"/>
    <w:uiPriority w:val="39"/>
    <w:unhideWhenUsed/>
    <w:pPr>
      <w:pBdr/>
      <w:spacing w:after="100"/>
      <w:ind w:left="1100"/>
    </w:pPr>
  </w:style>
  <w:style w:type="paragraph" w:styleId="791">
    <w:name w:val="toc 7"/>
    <w:basedOn w:val="961"/>
    <w:next w:val="961"/>
    <w:uiPriority w:val="39"/>
    <w:unhideWhenUsed/>
    <w:pPr>
      <w:pBdr/>
      <w:spacing w:after="100"/>
      <w:ind w:left="1320"/>
    </w:pPr>
  </w:style>
  <w:style w:type="paragraph" w:styleId="792">
    <w:name w:val="toc 8"/>
    <w:basedOn w:val="961"/>
    <w:next w:val="961"/>
    <w:uiPriority w:val="39"/>
    <w:unhideWhenUsed/>
    <w:pPr>
      <w:pBdr/>
      <w:spacing w:after="100"/>
      <w:ind w:left="1540"/>
    </w:pPr>
  </w:style>
  <w:style w:type="paragraph" w:styleId="793">
    <w:name w:val="toc 9"/>
    <w:basedOn w:val="961"/>
    <w:next w:val="961"/>
    <w:uiPriority w:val="39"/>
    <w:unhideWhenUsed/>
    <w:pPr>
      <w:pBdr/>
      <w:spacing w:after="100"/>
      <w:ind w:left="1760"/>
    </w:pPr>
  </w:style>
  <w:style w:type="character" w:styleId="794">
    <w:name w:val="Placeholder Text"/>
    <w:basedOn w:val="968"/>
    <w:uiPriority w:val="99"/>
    <w:semiHidden/>
    <w:pPr>
      <w:pBdr/>
      <w:spacing/>
      <w:ind/>
    </w:pPr>
    <w:rPr>
      <w:color w:val="666666"/>
    </w:rPr>
  </w:style>
  <w:style w:type="table" w:styleId="795">
    <w:name w:val="Table Grid"/>
    <w:basedOn w:val="9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Table Grid Light"/>
    <w:basedOn w:val="9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1"/>
    <w:basedOn w:val="9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2"/>
    <w:basedOn w:val="9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3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4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5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1 Light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1 Light - Accent 1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 - Accent 2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 - Accent 3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4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1 Light - Accent 5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1 Light - Accent 6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2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2 - Accent 1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 - Accent 2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 - Accent 3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4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2 - Accent 5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2 - Accent 6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3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3 - Accent 1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 - Accent 2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 - Accent 3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4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3 - Accent 5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3 - Accent 6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4"/>
    <w:basedOn w:val="9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4 - Accent 1"/>
    <w:basedOn w:val="9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 - Accent 2"/>
    <w:basedOn w:val="9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3"/>
    <w:basedOn w:val="9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4"/>
    <w:basedOn w:val="9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4 - Accent 5"/>
    <w:basedOn w:val="9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4 - Accent 6"/>
    <w:basedOn w:val="9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5 Dark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5 Dark- Accent 1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 - Accent 2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 - Accent 3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- Accent 4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5 Dark - Accent 5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5 Dark - Accent 6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6 Colorful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6 Colorful - Accent 1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 - Accent 2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3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4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6 Colorful - Accent 5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6 Colorful - Accent 6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7 Colorful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7 Colorful - Accent 1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 - Accent 2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 - Accent 3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4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7 Colorful - Accent 5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7 Colorful - Accent 6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1 Light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1 Light - Accent 1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 - Accent 2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 - Accent 3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4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 - Accent 5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1 Light - Accent 6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2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2 - Accent 1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 - Accent 2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3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4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2 - Accent 5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2 - Accent 6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3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3 - Accent 1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 - Accent 2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3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4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3 - Accent 5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3 - Accent 6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4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4 - Accent 1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 - Accent 2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3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4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 - Accent 5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4 - Accent 6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5 Dark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 - Accent 1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 - Accent 2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3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4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5 Dark - Accent 5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5 Dark - Accent 6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6 Colorful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6 Colorful - Accent 1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 - Accent 2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3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4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6 Colorful - Accent 5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6 Colorful - Accent 6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7 Colorful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7 Colorful - Accent 1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 - Accent 2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3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4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7 Colorful - Accent 5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7 Colorful - Accent 6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ned - Accent"/>
    <w:basedOn w:val="9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ned - Accent 1"/>
    <w:basedOn w:val="9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 2"/>
    <w:basedOn w:val="9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 3"/>
    <w:basedOn w:val="9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4"/>
    <w:basedOn w:val="9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 - Accent 5"/>
    <w:basedOn w:val="9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6"/>
    <w:basedOn w:val="9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&amp; Lined - Accent"/>
    <w:basedOn w:val="9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&amp; Lined - Accent 1"/>
    <w:basedOn w:val="9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 2"/>
    <w:basedOn w:val="9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 3"/>
    <w:basedOn w:val="9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4"/>
    <w:basedOn w:val="9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&amp; Lined - Accent 5"/>
    <w:basedOn w:val="9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&amp; Lined - Accent 6"/>
    <w:basedOn w:val="9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- Accent 1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2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3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4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- Accent 5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- Accent 6"/>
    <w:basedOn w:val="9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1">
    <w:name w:val="Heading 7"/>
    <w:basedOn w:val="961"/>
    <w:next w:val="961"/>
    <w:link w:val="93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22">
    <w:name w:val="Heading 8"/>
    <w:basedOn w:val="961"/>
    <w:next w:val="961"/>
    <w:link w:val="93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Heading 9"/>
    <w:basedOn w:val="961"/>
    <w:next w:val="961"/>
    <w:link w:val="93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24">
    <w:name w:val="Heading 1 Char"/>
    <w:basedOn w:val="968"/>
    <w:link w:val="96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25">
    <w:name w:val="Heading 2 Char"/>
    <w:basedOn w:val="968"/>
    <w:link w:val="9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26">
    <w:name w:val="Heading 3 Char"/>
    <w:basedOn w:val="968"/>
    <w:link w:val="9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27">
    <w:name w:val="Heading 4 Char"/>
    <w:basedOn w:val="968"/>
    <w:link w:val="96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28">
    <w:name w:val="Heading 5 Char"/>
    <w:basedOn w:val="968"/>
    <w:link w:val="9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29">
    <w:name w:val="Heading 6 Char"/>
    <w:basedOn w:val="968"/>
    <w:link w:val="96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30">
    <w:name w:val="Heading 7 Char"/>
    <w:basedOn w:val="968"/>
    <w:link w:val="92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31">
    <w:name w:val="Heading 8 Char"/>
    <w:basedOn w:val="968"/>
    <w:link w:val="92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2">
    <w:name w:val="Heading 9 Char"/>
    <w:basedOn w:val="968"/>
    <w:link w:val="9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3">
    <w:name w:val="Title Char"/>
    <w:basedOn w:val="968"/>
    <w:link w:val="97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34">
    <w:name w:val="Subtitle Char"/>
    <w:basedOn w:val="968"/>
    <w:link w:val="97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35">
    <w:name w:val="Quote"/>
    <w:basedOn w:val="961"/>
    <w:next w:val="961"/>
    <w:link w:val="93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6">
    <w:name w:val="Quote Char"/>
    <w:basedOn w:val="968"/>
    <w:link w:val="93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37">
    <w:name w:val="List Paragraph"/>
    <w:basedOn w:val="961"/>
    <w:uiPriority w:val="34"/>
    <w:qFormat/>
    <w:pPr>
      <w:pBdr/>
      <w:spacing/>
      <w:ind w:left="720"/>
      <w:contextualSpacing w:val="true"/>
    </w:pPr>
  </w:style>
  <w:style w:type="character" w:styleId="938">
    <w:name w:val="Intense Emphasis"/>
    <w:basedOn w:val="96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9">
    <w:name w:val="Intense Quote"/>
    <w:basedOn w:val="961"/>
    <w:next w:val="961"/>
    <w:link w:val="94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40">
    <w:name w:val="Intense Quote Char"/>
    <w:basedOn w:val="968"/>
    <w:link w:val="93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41">
    <w:name w:val="Intense Reference"/>
    <w:basedOn w:val="96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42">
    <w:name w:val="No Spacing"/>
    <w:basedOn w:val="961"/>
    <w:uiPriority w:val="1"/>
    <w:qFormat/>
    <w:pPr>
      <w:pBdr/>
      <w:spacing w:after="0" w:line="240" w:lineRule="auto"/>
      <w:ind/>
    </w:pPr>
  </w:style>
  <w:style w:type="character" w:styleId="943">
    <w:name w:val="Subtle Emphasis"/>
    <w:basedOn w:val="96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44">
    <w:name w:val="Emphasis"/>
    <w:basedOn w:val="968"/>
    <w:uiPriority w:val="20"/>
    <w:qFormat/>
    <w:pPr>
      <w:pBdr/>
      <w:spacing/>
      <w:ind/>
    </w:pPr>
    <w:rPr>
      <w:i/>
      <w:iCs/>
    </w:rPr>
  </w:style>
  <w:style w:type="character" w:styleId="945">
    <w:name w:val="Strong"/>
    <w:basedOn w:val="968"/>
    <w:uiPriority w:val="22"/>
    <w:qFormat/>
    <w:pPr>
      <w:pBdr/>
      <w:spacing/>
      <w:ind/>
    </w:pPr>
    <w:rPr>
      <w:b/>
      <w:bCs/>
    </w:rPr>
  </w:style>
  <w:style w:type="character" w:styleId="946">
    <w:name w:val="Subtle Reference"/>
    <w:basedOn w:val="96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7">
    <w:name w:val="Book Title"/>
    <w:basedOn w:val="96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48">
    <w:name w:val="Header Char"/>
    <w:basedOn w:val="968"/>
    <w:link w:val="984"/>
    <w:uiPriority w:val="99"/>
    <w:pPr>
      <w:pBdr/>
      <w:spacing/>
      <w:ind/>
    </w:pPr>
  </w:style>
  <w:style w:type="character" w:styleId="949">
    <w:name w:val="Footer Char"/>
    <w:basedOn w:val="968"/>
    <w:link w:val="986"/>
    <w:uiPriority w:val="99"/>
    <w:pPr>
      <w:pBdr/>
      <w:spacing/>
      <w:ind/>
    </w:pPr>
  </w:style>
  <w:style w:type="paragraph" w:styleId="950">
    <w:name w:val="Caption"/>
    <w:basedOn w:val="961"/>
    <w:next w:val="96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51">
    <w:name w:val="footnote text"/>
    <w:basedOn w:val="961"/>
    <w:link w:val="95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2">
    <w:name w:val="Footnote Text Char"/>
    <w:basedOn w:val="968"/>
    <w:link w:val="951"/>
    <w:uiPriority w:val="99"/>
    <w:semiHidden/>
    <w:pPr>
      <w:pBdr/>
      <w:spacing/>
      <w:ind/>
    </w:pPr>
    <w:rPr>
      <w:sz w:val="20"/>
      <w:szCs w:val="20"/>
    </w:rPr>
  </w:style>
  <w:style w:type="character" w:styleId="953">
    <w:name w:val="footnote reference"/>
    <w:basedOn w:val="968"/>
    <w:uiPriority w:val="99"/>
    <w:semiHidden/>
    <w:unhideWhenUsed/>
    <w:pPr>
      <w:pBdr/>
      <w:spacing/>
      <w:ind/>
    </w:pPr>
    <w:rPr>
      <w:vertAlign w:val="superscript"/>
    </w:rPr>
  </w:style>
  <w:style w:type="paragraph" w:styleId="954">
    <w:name w:val="endnote text"/>
    <w:basedOn w:val="961"/>
    <w:link w:val="95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5">
    <w:name w:val="Endnote Text Char"/>
    <w:basedOn w:val="968"/>
    <w:link w:val="954"/>
    <w:uiPriority w:val="99"/>
    <w:semiHidden/>
    <w:pPr>
      <w:pBdr/>
      <w:spacing/>
      <w:ind/>
    </w:pPr>
    <w:rPr>
      <w:sz w:val="20"/>
      <w:szCs w:val="20"/>
    </w:rPr>
  </w:style>
  <w:style w:type="character" w:styleId="956">
    <w:name w:val="endnote reference"/>
    <w:basedOn w:val="968"/>
    <w:uiPriority w:val="99"/>
    <w:semiHidden/>
    <w:unhideWhenUsed/>
    <w:pPr>
      <w:pBdr/>
      <w:spacing/>
      <w:ind/>
    </w:pPr>
    <w:rPr>
      <w:vertAlign w:val="superscript"/>
    </w:rPr>
  </w:style>
  <w:style w:type="character" w:styleId="957">
    <w:name w:val="Hyperlink"/>
    <w:basedOn w:val="96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58">
    <w:name w:val="FollowedHyperlink"/>
    <w:basedOn w:val="96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9">
    <w:name w:val="TOC Heading"/>
    <w:uiPriority w:val="39"/>
    <w:unhideWhenUsed/>
    <w:pPr>
      <w:pBdr/>
      <w:spacing/>
      <w:ind/>
    </w:pPr>
  </w:style>
  <w:style w:type="paragraph" w:styleId="960">
    <w:name w:val="table of figures"/>
    <w:basedOn w:val="961"/>
    <w:next w:val="961"/>
    <w:uiPriority w:val="99"/>
    <w:unhideWhenUsed/>
    <w:pPr>
      <w:pBdr/>
      <w:spacing w:after="0" w:afterAutospacing="0"/>
      <w:ind/>
    </w:pPr>
  </w:style>
  <w:style w:type="paragraph" w:styleId="961" w:default="1">
    <w:name w:val="Normal"/>
    <w:qFormat/>
    <w:pPr>
      <w:pBdr/>
      <w:spacing/>
      <w:ind/>
    </w:pPr>
  </w:style>
  <w:style w:type="paragraph" w:styleId="962">
    <w:name w:val="Heading 1"/>
    <w:basedOn w:val="961"/>
    <w:next w:val="961"/>
    <w:uiPriority w:val="9"/>
    <w:qFormat/>
    <w:pPr>
      <w:keepNext w:val="true"/>
      <w:keepLines w:val="true"/>
      <w:pBdr/>
      <w:spacing w:after="120" w:before="480"/>
      <w:ind/>
      <w:outlineLvl w:val="0"/>
    </w:pPr>
    <w:rPr>
      <w:b/>
      <w:bCs/>
      <w:sz w:val="48"/>
      <w:szCs w:val="48"/>
    </w:rPr>
  </w:style>
  <w:style w:type="paragraph" w:styleId="963">
    <w:name w:val="Heading 2"/>
    <w:basedOn w:val="961"/>
    <w:next w:val="961"/>
    <w:uiPriority w:val="9"/>
    <w:semiHidden/>
    <w:unhideWhenUsed/>
    <w:qFormat/>
    <w:pPr>
      <w:keepNext w:val="true"/>
      <w:keepLines w:val="true"/>
      <w:pBdr/>
      <w:spacing w:after="80" w:before="360"/>
      <w:ind/>
      <w:outlineLvl w:val="1"/>
    </w:pPr>
    <w:rPr>
      <w:b/>
      <w:bCs/>
      <w:sz w:val="36"/>
      <w:szCs w:val="36"/>
    </w:rPr>
  </w:style>
  <w:style w:type="paragraph" w:styleId="964">
    <w:name w:val="Heading 3"/>
    <w:basedOn w:val="961"/>
    <w:next w:val="961"/>
    <w:uiPriority w:val="9"/>
    <w:semiHidden/>
    <w:unhideWhenUsed/>
    <w:qFormat/>
    <w:pPr>
      <w:keepNext w:val="true"/>
      <w:keepLines w:val="true"/>
      <w:pBdr/>
      <w:spacing w:after="80" w:before="280"/>
      <w:ind/>
      <w:outlineLvl w:val="2"/>
    </w:pPr>
    <w:rPr>
      <w:b/>
      <w:bCs/>
      <w:sz w:val="28"/>
      <w:szCs w:val="28"/>
    </w:rPr>
  </w:style>
  <w:style w:type="paragraph" w:styleId="965">
    <w:name w:val="Heading 4"/>
    <w:basedOn w:val="961"/>
    <w:next w:val="961"/>
    <w:uiPriority w:val="9"/>
    <w:semiHidden/>
    <w:unhideWhenUsed/>
    <w:qFormat/>
    <w:pPr>
      <w:keepNext w:val="true"/>
      <w:keepLines w:val="true"/>
      <w:pBdr/>
      <w:spacing w:after="40" w:before="240"/>
      <w:ind/>
      <w:outlineLvl w:val="3"/>
    </w:pPr>
    <w:rPr>
      <w:b/>
      <w:bCs/>
      <w:sz w:val="24"/>
      <w:szCs w:val="24"/>
    </w:rPr>
  </w:style>
  <w:style w:type="paragraph" w:styleId="966">
    <w:name w:val="Heading 5"/>
    <w:basedOn w:val="961"/>
    <w:next w:val="961"/>
    <w:uiPriority w:val="9"/>
    <w:semiHidden/>
    <w:unhideWhenUsed/>
    <w:qFormat/>
    <w:pPr>
      <w:keepNext w:val="true"/>
      <w:keepLines w:val="true"/>
      <w:pBdr/>
      <w:spacing w:after="40" w:before="220"/>
      <w:ind/>
      <w:outlineLvl w:val="4"/>
    </w:pPr>
    <w:rPr>
      <w:b/>
      <w:bCs/>
    </w:rPr>
  </w:style>
  <w:style w:type="paragraph" w:styleId="967">
    <w:name w:val="Heading 6"/>
    <w:basedOn w:val="961"/>
    <w:next w:val="961"/>
    <w:uiPriority w:val="9"/>
    <w:semiHidden/>
    <w:unhideWhenUsed/>
    <w:qFormat/>
    <w:pPr>
      <w:keepNext w:val="true"/>
      <w:keepLines w:val="true"/>
      <w:pBdr/>
      <w:spacing w:after="40" w:before="200"/>
      <w:ind/>
      <w:outlineLvl w:val="5"/>
    </w:pPr>
    <w:rPr>
      <w:b/>
      <w:bCs/>
      <w:sz w:val="20"/>
      <w:szCs w:val="20"/>
    </w:rPr>
  </w:style>
  <w:style w:type="character" w:styleId="968" w:default="1">
    <w:name w:val="Default Paragraph Font"/>
    <w:uiPriority w:val="1"/>
    <w:semiHidden/>
    <w:unhideWhenUsed/>
    <w:pPr>
      <w:pBdr/>
      <w:spacing/>
      <w:ind/>
    </w:pPr>
  </w:style>
  <w:style w:type="table" w:styleId="96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70" w:default="1">
    <w:name w:val="No List"/>
    <w:uiPriority w:val="99"/>
    <w:semiHidden/>
    <w:unhideWhenUsed/>
    <w:pPr>
      <w:pBdr/>
      <w:spacing/>
      <w:ind/>
    </w:pPr>
  </w:style>
  <w:style w:type="table" w:styleId="971" w:customStyle="1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2">
    <w:name w:val="Title"/>
    <w:basedOn w:val="961"/>
    <w:next w:val="961"/>
    <w:uiPriority w:val="10"/>
    <w:qFormat/>
    <w:pPr>
      <w:keepNext w:val="true"/>
      <w:keepLines w:val="true"/>
      <w:pBdr/>
      <w:spacing w:after="120" w:before="480"/>
      <w:ind/>
    </w:pPr>
    <w:rPr>
      <w:b/>
      <w:bCs/>
      <w:sz w:val="72"/>
      <w:szCs w:val="72"/>
    </w:rPr>
  </w:style>
  <w:style w:type="paragraph" w:styleId="973">
    <w:name w:val="Subtitle"/>
    <w:basedOn w:val="961"/>
    <w:next w:val="961"/>
    <w:uiPriority w:val="11"/>
    <w:qFormat/>
    <w:pPr>
      <w:keepNext w:val="true"/>
      <w:keepLines w:val="true"/>
      <w:pBdr/>
      <w:spacing w:after="80" w:before="360"/>
      <w:ind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974" w:customStyle="1">
    <w:name w:val="StGen0"/>
    <w:basedOn w:val="971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StGen1"/>
    <w:basedOn w:val="971"/>
    <w:pPr>
      <w:widowControl w:val="true"/>
      <w:pBdr/>
      <w:spacing/>
      <w:ind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StGen2"/>
    <w:basedOn w:val="971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StGen3"/>
    <w:basedOn w:val="971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StGen4"/>
    <w:basedOn w:val="971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StGen5"/>
    <w:basedOn w:val="971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StGen6"/>
    <w:basedOn w:val="971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StGen7"/>
    <w:basedOn w:val="971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StGen8"/>
    <w:basedOn w:val="971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StGen9"/>
    <w:basedOn w:val="971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84">
    <w:name w:val="Header"/>
    <w:basedOn w:val="961"/>
    <w:link w:val="985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85" w:customStyle="1">
    <w:name w:val="Верхній колонтитул Знак"/>
    <w:basedOn w:val="968"/>
    <w:link w:val="984"/>
    <w:uiPriority w:val="99"/>
    <w:pPr>
      <w:pBdr/>
      <w:spacing/>
      <w:ind/>
    </w:pPr>
  </w:style>
  <w:style w:type="paragraph" w:styleId="986">
    <w:name w:val="Footer"/>
    <w:basedOn w:val="961"/>
    <w:link w:val="987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87" w:customStyle="1">
    <w:name w:val="Нижній колонтитул Знак"/>
    <w:basedOn w:val="968"/>
    <w:link w:val="986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VOhuWZdfpNilVMRae0xH+0nYPQ==">CgMxLjAaHwoBMBIaChgICVIUChJ0YWJsZS50MDY2a2l6YWFvc24aHwoBMRIaChgICVIUChJ0YWJsZS5memxkN3BhemxwdWI4AHIhMXVaeW82dER6QV9uLU5acm9yVVRQcnRxenFtdnJWZXg5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ANEROSLUK</dc:creator>
  <cp:lastModifiedBy>СТАРОДУБ Людмила Олександрівна</cp:lastModifiedBy>
  <cp:revision>7</cp:revision>
  <dcterms:created xsi:type="dcterms:W3CDTF">2026-08-06T13:19:00Z</dcterms:created>
  <dcterms:modified xsi:type="dcterms:W3CDTF">2026-08-28T08:55:39Z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2026-05-28T00:00:00Z</vt:lpwstr>
  </property>
  <property fmtid="{D5CDD505-2E9C-101B-9397-08002B2CF9AE}" pid="4" name="LastSaved">
    <vt:lpwstr>2026-06-22T00:00:00Z</vt:lpwstr>
  </property>
  <property fmtid="{D5CDD505-2E9C-101B-9397-08002B2CF9AE}" pid="5" name="Producer">
    <vt:lpwstr>Aspose.Words for .NET 26.3.0</vt:lpwstr>
  </property>
</Properties>
</file>