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68"/>
        <w:ind w:right="2400" w:firstLine="0" w:left="0"/>
        <w:jc w:val="left"/>
        <w:rPr>
          <w:b/>
          <w:bCs/>
        </w:rPr>
      </w:pPr>
      <w:r>
        <w:rPr>
          <w:b/>
        </w:rPr>
        <w:t xml:space="preserve">                                           </w:t>
      </w:r>
      <w:r/>
    </w:p>
    <w:p>
      <w:pPr>
        <w:pBdr/>
        <w:tabs>
          <w:tab w:val="left" w:leader="none" w:pos="6761"/>
        </w:tabs>
        <w:spacing w:after="168"/>
        <w:ind w:right="2400" w:firstLine="0" w:left="0"/>
        <w:jc w:val="left"/>
        <w:rPr/>
      </w:pPr>
      <w:r>
        <w:rPr>
          <w:b/>
        </w:rPr>
        <w:t xml:space="preserve">                                           МЕНСЬКА МІСЬКА РАДА</w:t>
      </w:r>
      <w:r/>
      <w:r>
        <w:tab/>
      </w:r>
      <w:r/>
    </w:p>
    <w:p>
      <w:pPr>
        <w:pBdr/>
        <w:spacing w:after="334"/>
        <w:ind w:right="2330" w:hanging="10" w:left="2409"/>
        <w:jc w:val="center"/>
        <w:rPr/>
      </w:pPr>
      <w:r>
        <w:rPr>
          <w:b/>
        </w:rPr>
        <w:t xml:space="preserve">ВИКОНАВЧИЙ КОМІТЕТ      РІШЕННЯ</w:t>
      </w:r>
      <w:r/>
    </w:p>
    <w:p>
      <w:pPr>
        <w:pBdr/>
        <w:tabs>
          <w:tab w:val="center" w:leader="none" w:pos="4655"/>
          <w:tab w:val="center" w:leader="none" w:pos="7511"/>
        </w:tabs>
        <w:spacing w:after="315"/>
        <w:ind w:firstLine="0" w:left="0"/>
        <w:jc w:val="left"/>
        <w:rPr/>
      </w:pPr>
      <w:r>
        <w:rPr>
          <w:rFonts w:hint="default"/>
          <w:lang w:val="uk-UA"/>
        </w:rPr>
        <w:t xml:space="preserve">27 </w:t>
      </w:r>
      <w:r>
        <w:t xml:space="preserve">серпень 202</w:t>
      </w:r>
      <w:r>
        <w:rPr>
          <w:rFonts w:hint="default"/>
          <w:lang w:val="uk-UA"/>
        </w:rPr>
        <w:t xml:space="preserve">6</w:t>
      </w:r>
      <w:r>
        <w:t xml:space="preserve"> року</w:t>
      </w:r>
      <w:r>
        <w:tab/>
        <w:t xml:space="preserve">  </w:t>
      </w:r>
      <w:r>
        <w:t xml:space="preserve">м. Мена</w:t>
      </w:r>
      <w:r>
        <w:tab/>
        <w:t xml:space="preserve"> </w:t>
      </w:r>
      <w:r>
        <w:t xml:space="preserve">№</w:t>
      </w:r>
      <w:r>
        <w:t xml:space="preserve"> 165</w:t>
      </w:r>
      <w:r/>
    </w:p>
    <w:p>
      <w:pPr>
        <w:pBdr/>
        <w:spacing w:after="395" w:line="238" w:lineRule="auto"/>
        <w:ind w:right="5247" w:firstLine="0" w:left="0"/>
        <w:jc w:val="left"/>
        <w:rPr/>
      </w:pPr>
      <w:r>
        <w:rPr>
          <w:b/>
        </w:rPr>
        <w:t xml:space="preserve">Про підготовку закладів освіти до нового навчального року</w:t>
      </w:r>
      <w:r/>
    </w:p>
    <w:p>
      <w:pPr>
        <w:pBdr/>
        <w:spacing/>
        <w:ind w:left="-15"/>
        <w:rPr/>
      </w:pPr>
      <w:r>
        <w:t xml:space="preserve">На виконання </w:t>
      </w:r>
      <w:r>
        <w:rPr>
          <w:color w:val="000000" w:themeColor="text1"/>
          <w:lang w:val="uk-UA"/>
          <w14:textFill>
            <w14:solidFill>
              <w14:schemeClr w14:val="tx1"/>
            </w14:solidFill>
          </w14:textFill>
        </w:rPr>
        <w:t xml:space="preserve">листа</w:t>
      </w:r>
      <w:r>
        <w:rPr>
          <w:rFonts w:hint="default"/>
          <w:color w:val="000000" w:themeColor="text1"/>
          <w:lang w:val="uk-UA"/>
          <w14:textFill>
            <w14:solidFill>
              <w14:schemeClr w14:val="tx1"/>
            </w14:solidFill>
          </w14:textFill>
        </w:rPr>
        <w:t xml:space="preserve"> Міністерства освіти і науки України від 14 травня 2026 року №1/10243-26 “Про підготовку закладів освіти до нового навчального року та проходження осінньо-зимового періоду 2026/27 року”</w:t>
      </w:r>
      <w:r>
        <w:t xml:space="preserve">, керуючись ч.2 статті 32 Закону України «Про місцеве самоврядування в Україні», ч. 3 статті 37 Закону України «Про повну загальну середню освіту», ч. 2 статті 19 Закону України «</w:t>
      </w:r>
      <w:r>
        <w:t xml:space="preserve">Про дошкільну освіту», статтею 5 Закону України «Про охорону дитинства», з метою забезпечення своєчасної підготовки будівель і споруд навчального та енергетичного призначення, зовнішніх інженерних мереж закладів освіти громади до сталої роботи в новому 202</w:t>
      </w:r>
      <w:r>
        <w:rPr>
          <w:rFonts w:hint="default"/>
          <w:lang w:val="uk-UA"/>
        </w:rPr>
        <w:t xml:space="preserve">6</w:t>
      </w:r>
      <w:r>
        <w:t xml:space="preserve">-202</w:t>
      </w:r>
      <w:r>
        <w:rPr>
          <w:rFonts w:hint="default"/>
          <w:lang w:val="uk-UA"/>
        </w:rPr>
        <w:t xml:space="preserve">7</w:t>
      </w:r>
      <w:r>
        <w:t xml:space="preserve"> навчальному році та в осінньо-зимовий період, виконавчий комітет</w:t>
      </w:r>
      <w:r/>
    </w:p>
    <w:p>
      <w:pPr>
        <w:pBdr/>
        <w:spacing/>
        <w:ind w:right="5496" w:firstLine="0" w:left="-15"/>
        <w:rPr/>
      </w:pPr>
      <w:r>
        <w:t xml:space="preserve">Менської міської ради ВИРІШИВ:</w:t>
      </w:r>
      <w:r/>
    </w:p>
    <w:p>
      <w:pPr>
        <w:numPr>
          <w:ilvl w:val="0"/>
          <w:numId w:val="1"/>
        </w:numPr>
        <w:pBdr/>
        <w:spacing/>
        <w:ind w:right="283"/>
        <w:rPr/>
      </w:pPr>
      <w:r>
        <w:t xml:space="preserve">Інформацію Відділу освіти Менської міської ради про підготовку закладів освіти Менської міської територіальної громади до нового 202</w:t>
      </w:r>
      <w:r>
        <w:rPr>
          <w:rFonts w:hint="default"/>
          <w:lang w:val="uk-UA"/>
        </w:rPr>
        <w:t xml:space="preserve">6</w:t>
      </w:r>
      <w:r>
        <w:t xml:space="preserve">/202</w:t>
      </w:r>
      <w:r>
        <w:rPr>
          <w:rFonts w:hint="default"/>
          <w:lang w:val="uk-UA"/>
        </w:rPr>
        <w:t xml:space="preserve">7</w:t>
      </w:r>
      <w:r>
        <w:t xml:space="preserve"> навчального року взяти до відома (додається).</w:t>
      </w:r>
      <w:r/>
    </w:p>
    <w:p>
      <w:pPr>
        <w:numPr>
          <w:ilvl w:val="0"/>
          <w:numId w:val="1"/>
        </w:numPr>
        <w:pBdr/>
        <w:spacing/>
        <w:ind w:right="283"/>
        <w:rPr/>
      </w:pPr>
      <w:r>
        <w:t xml:space="preserve">Відділу освіти Менської міської ради, Комунальній установі «Центр обслуговування освітніх установ та закладів освіти» Менської міської ради, керівникам закладів освіти: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Своєчасно вжити заходів з підготовки матеріально-технічної бази закладів освіти до роботи в новому 202</w:t>
      </w:r>
      <w:r>
        <w:rPr>
          <w:rFonts w:hint="default"/>
          <w:lang w:val="uk-UA"/>
        </w:rPr>
        <w:t xml:space="preserve">6</w:t>
      </w:r>
      <w:r>
        <w:t xml:space="preserve">/202</w:t>
      </w:r>
      <w:r>
        <w:rPr>
          <w:rFonts w:hint="default"/>
          <w:lang w:val="uk-UA"/>
        </w:rPr>
        <w:t xml:space="preserve">7</w:t>
      </w:r>
      <w:r>
        <w:t xml:space="preserve"> навчальному році;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Забезпечити ефективне використання матеріально-технічної бази під час освітнього процесу та в осінньо-зимовий період, здійснити заходи з енергозбереження, провести обстеження технічного стану будівель і споруд з метою запобігання їх руй</w:t>
      </w:r>
      <w:r>
        <w:t xml:space="preserve">нуванню та забезпечення вимог наказу Міністерства палива та енергетики України та Міністерства з питань житлово-комунального господарства України від 10.12.2008 за №620/378 «Про затвердження Правил підготовки теплових господарств до опалювального періоду»;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Виконати заплановані технічні заходи з підготовки котелень (топкових), теплотрас до роботи в осінньо-зимовий період 202</w:t>
      </w:r>
      <w:r>
        <w:rPr>
          <w:rFonts w:hint="default"/>
          <w:lang w:val="uk-UA"/>
        </w:rPr>
        <w:t xml:space="preserve">6</w:t>
      </w:r>
      <w:r>
        <w:t xml:space="preserve">/202</w:t>
      </w:r>
      <w:r>
        <w:rPr>
          <w:rFonts w:hint="default"/>
          <w:lang w:val="uk-UA"/>
        </w:rPr>
        <w:t xml:space="preserve">7 навчального</w:t>
      </w:r>
      <w:r>
        <w:t xml:space="preserve"> року;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Вчасно повірити засоби обліку теплової енергії, води, електроенергії; манометри, термометри та сигналізатори;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Провести закупівлю необхідної кількості різних видів твердого палива(торфу, дров, торфобрикету, вугілля та інше) для закладів освіти;</w:t>
      </w:r>
      <w:r/>
    </w:p>
    <w:p>
      <w:pPr>
        <w:pStyle w:val="708"/>
        <w:numPr>
          <w:ilvl w:val="1"/>
          <w:numId w:val="1"/>
        </w:numPr>
        <w:pBdr/>
        <w:spacing/>
        <w:ind w:right="0" w:firstLine="567" w:left="0"/>
        <w:rPr/>
      </w:pPr>
      <w:r>
        <w:t xml:space="preserve">Забезпечити суворий контроль за споживанням паливно-енергетичних ресурсів;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Провести до 10 вересня 202</w:t>
      </w:r>
      <w:r>
        <w:rPr>
          <w:rFonts w:hint="default"/>
          <w:lang w:val="uk-UA"/>
        </w:rPr>
        <w:t xml:space="preserve">6</w:t>
      </w:r>
      <w:r>
        <w:t xml:space="preserve"> року моніторинг технічного стану та підготовки всіх систем і джерел теплопостачання, об’єктів електроенергетики споживачів електричної та теплової енергії до роботи в осінньо-зимовий період;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Забезпечити заклади освіти резервними джерелами енергопостачання та до 01 жовтня 202</w:t>
      </w:r>
      <w:r>
        <w:rPr>
          <w:rFonts w:hint="default"/>
          <w:lang w:val="uk-UA"/>
        </w:rPr>
        <w:t xml:space="preserve">6</w:t>
      </w:r>
      <w:r>
        <w:t xml:space="preserve"> року вжити заходів з їх підготовки, а також створення резерву паливно-мастильних матеріалів у достатньому обсязі для забезпечення їхньої роботи;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Вжити заходів щодо: забезпечення розробки планів-графіків споживання природнього газу з урахуванням мінім</w:t>
      </w:r>
      <w:r>
        <w:t xml:space="preserve">ально можливого його використання для функціонування котельного обладнання; своєчасного укладення договорів з постачання природного газу для виробництва теплової та електричної енергії, а також забезпечення вчасних розрахунків за спожитий природний газ, ел</w:t>
      </w:r>
      <w:r>
        <w:t xml:space="preserve">ектричну енергію та їх розподіл; погашення заборгованості за спожиті комунальні послуги та уникнення її утворення в подальшому; проведення комісійного обстеження технічного стану мереж, насосних агрегатів, вузлів обліку, контрольно-вимірювальних пристроїв;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Завершити до 01.10.202</w:t>
      </w:r>
      <w:r>
        <w:rPr>
          <w:rFonts w:hint="default"/>
          <w:lang w:val="uk-UA"/>
        </w:rPr>
        <w:t xml:space="preserve">6</w:t>
      </w:r>
      <w:r>
        <w:t xml:space="preserve"> року підготовку закладів освіти до роботив осінньо-зимовий період;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Завершити до 01.09.202</w:t>
      </w:r>
      <w:r>
        <w:rPr>
          <w:rFonts w:hint="default"/>
          <w:lang w:val="uk-UA"/>
        </w:rPr>
        <w:t xml:space="preserve">6</w:t>
      </w:r>
      <w:r>
        <w:t xml:space="preserve"> року підготовку закладів освіти до організованого початку нового 202</w:t>
      </w:r>
      <w:r>
        <w:rPr>
          <w:rFonts w:hint="default"/>
          <w:lang w:val="uk-UA"/>
        </w:rPr>
        <w:t xml:space="preserve">6</w:t>
      </w:r>
      <w:r>
        <w:t xml:space="preserve">/202</w:t>
      </w:r>
      <w:r>
        <w:rPr>
          <w:rFonts w:hint="default"/>
          <w:lang w:val="uk-UA"/>
        </w:rPr>
        <w:t xml:space="preserve">7</w:t>
      </w:r>
      <w:r>
        <w:t xml:space="preserve"> навчального року.</w:t>
      </w:r>
      <w:r/>
    </w:p>
    <w:p>
      <w:pPr>
        <w:numPr>
          <w:ilvl w:val="0"/>
          <w:numId w:val="1"/>
        </w:numPr>
        <w:pBdr/>
        <w:spacing/>
        <w:ind w:right="0" w:firstLine="567" w:left="0"/>
        <w:rPr/>
      </w:pPr>
      <w:r>
        <w:t xml:space="preserve">Директорам закладів загальної середньої освіти, дошкільної, позашкільної освіти, Степанівського МНВК: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Забезпечити початок освітнього процесу в закладах загальної середньої освіти з 01 вересня 202</w:t>
      </w:r>
      <w:r>
        <w:rPr>
          <w:rFonts w:hint="default"/>
          <w:lang w:val="uk-UA"/>
        </w:rPr>
        <w:t xml:space="preserve">6</w:t>
      </w:r>
      <w:r>
        <w:t xml:space="preserve"> року;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Врахувати в роботі, що форма організації освітнього процесу може змінюватися впродовж навчального року в залежності від безпекової ситуації;</w:t>
      </w:r>
      <w:r/>
    </w:p>
    <w:p>
      <w:pPr>
        <w:numPr>
          <w:ilvl w:val="1"/>
          <w:numId w:val="1"/>
        </w:numPr>
        <w:pBdr/>
        <w:spacing/>
        <w:ind w:right="0" w:firstLine="567" w:left="0"/>
        <w:rPr/>
      </w:pPr>
      <w:r>
        <w:t xml:space="preserve">Вжити заходів щодо забезпечення безпеки усіх учасників освітнього процесу впродовж навчального року:</w:t>
      </w:r>
      <w:r/>
    </w:p>
    <w:p>
      <w:pPr>
        <w:numPr>
          <w:ilvl w:val="0"/>
          <w:numId w:val="2"/>
        </w:numPr>
        <w:pBdr/>
        <w:spacing/>
        <w:ind/>
        <w:rPr/>
      </w:pPr>
      <w:r>
        <w:t xml:space="preserve">утримувати в постійній готовності до використання захисні споруди цивільного захисту, призначені для укриття учасників освітнього процесу;</w:t>
      </w:r>
      <w:r/>
    </w:p>
    <w:p>
      <w:pPr>
        <w:numPr>
          <w:ilvl w:val="0"/>
          <w:numId w:val="2"/>
        </w:numPr>
        <w:pBdr/>
        <w:spacing/>
        <w:ind/>
        <w:rPr/>
      </w:pPr>
      <w:r>
        <w:t xml:space="preserve">інформувати учасників освітнього процесу про місця розташування захисних споруд цивільного захисту та інших споруд, призначених для їх укриття на випадок виникнення надзвичайних ситуацій, порядок їх заповнення та поводження у них;</w:t>
      </w:r>
      <w:r/>
    </w:p>
    <w:p>
      <w:pPr>
        <w:numPr>
          <w:ilvl w:val="0"/>
          <w:numId w:val="2"/>
        </w:numPr>
        <w:pBdr/>
        <w:spacing/>
        <w:ind/>
        <w:rPr/>
      </w:pPr>
      <w:r>
        <w:t xml:space="preserve">проводити профілактичну та просвітницьку роботу щодо формування безпечної поведінки в цифровому середовищі, навчання з мінної безпеки та правил поводження з вибухонебезпечними предметами;</w:t>
      </w:r>
      <w:r/>
    </w:p>
    <w:p>
      <w:pPr>
        <w:numPr>
          <w:ilvl w:val="0"/>
          <w:numId w:val="2"/>
        </w:numPr>
        <w:pBdr/>
        <w:spacing/>
        <w:ind/>
        <w:rPr/>
      </w:pPr>
      <w:r>
        <w:t xml:space="preserve">вжити заходів щодо створення та забезпечення функціонування класів безпеки в закладах освіти;</w:t>
      </w:r>
      <w:r/>
    </w:p>
    <w:p>
      <w:pPr>
        <w:numPr>
          <w:ilvl w:val="0"/>
          <w:numId w:val="2"/>
        </w:numPr>
        <w:pBdr/>
        <w:spacing/>
        <w:ind/>
        <w:rPr/>
      </w:pPr>
      <w:r>
        <w:t xml:space="preserve">організовувати систематичні психологічні навчання, тренінги тощо з метою надання психоемоційної підтримки учасникам освітнього процесу;</w:t>
      </w:r>
      <w:r/>
    </w:p>
    <w:p>
      <w:pPr>
        <w:pStyle w:val="708"/>
        <w:numPr>
          <w:ilvl w:val="0"/>
          <w:numId w:val="2"/>
        </w:numPr>
        <w:pBdr/>
        <w:spacing/>
        <w:ind/>
        <w:rPr/>
      </w:pPr>
      <w:r>
        <w:t xml:space="preserve">продовжити створення сучасного, безпечного, інклюзивного освітнього середовища в закладах освіти громади;</w:t>
      </w:r>
      <w:r/>
    </w:p>
    <w:p>
      <w:pPr>
        <w:numPr>
          <w:ilvl w:val="0"/>
          <w:numId w:val="2"/>
        </w:numPr>
        <w:pBdr/>
        <w:spacing/>
        <w:ind/>
        <w:rPr/>
      </w:pPr>
      <w:r>
        <w:t xml:space="preserve">при організації освітнього процесу в очному або змішаному форматі заб</w:t>
      </w:r>
      <w:r>
        <w:t xml:space="preserve">езпечити безумовне переривання освітнього процесу, що здійснюється в будівлі, приміщенні закладу освіти, у разі включення сигналу «Повітряна тривога» або інших сигналів оповіщення; забезпечити організоване прослідування до споруд цивільного захисту і переб</w:t>
      </w:r>
      <w:r>
        <w:t xml:space="preserve">ування в них до скасування тривоги всіх учасників освітнього процесу; за можливості, продовжити освітній процес в укритті, а після відбою тривоги повернутися до приміщення закладу освіти, організувавши освітній процес з урахуванням необхідного корегування.</w:t>
      </w:r>
      <w:r/>
    </w:p>
    <w:p>
      <w:pPr>
        <w:pBdr/>
        <w:tabs>
          <w:tab w:val="center" w:leader="none" w:pos="7627"/>
        </w:tabs>
        <w:spacing/>
        <w:ind w:firstLine="0" w:left="-15"/>
        <w:jc w:val="left"/>
        <w:rPr/>
      </w:pPr>
      <w:r/>
      <w:r/>
    </w:p>
    <w:p>
      <w:pPr>
        <w:pBdr/>
        <w:tabs>
          <w:tab w:val="center" w:leader="none" w:pos="7627"/>
        </w:tabs>
        <w:spacing/>
        <w:ind w:firstLine="0" w:left="-15"/>
        <w:jc w:val="left"/>
        <w:rPr/>
      </w:pPr>
      <w:r/>
      <w:r/>
    </w:p>
    <w:p>
      <w:pPr>
        <w:pBdr/>
        <w:tabs>
          <w:tab w:val="center" w:leader="none" w:pos="7627"/>
        </w:tabs>
        <w:spacing/>
        <w:ind w:firstLine="0" w:left="-15"/>
        <w:jc w:val="left"/>
        <w:rPr/>
      </w:pPr>
      <w:r/>
      <w:r/>
    </w:p>
    <w:p>
      <w:pPr>
        <w:pBdr/>
        <w:tabs>
          <w:tab w:val="center" w:leader="none" w:pos="7627"/>
        </w:tabs>
        <w:spacing/>
        <w:ind w:firstLine="0" w:left="-15"/>
        <w:jc w:val="left"/>
        <w:rPr/>
      </w:pPr>
      <w:r/>
      <w:bookmarkStart w:id="0" w:name="_GoBack"/>
      <w:r/>
      <w:bookmarkEnd w:id="0"/>
      <w:r>
        <w:t xml:space="preserve">Секретар ради</w:t>
      </w:r>
      <w:r>
        <w:tab/>
      </w:r>
      <w:r>
        <w:t xml:space="preserve">Юрій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40" w:left="1701" w:header="283" w:footer="708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7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49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49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76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176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76"/>
      <w:pBdr/>
      <w:spacing/>
      <w:ind/>
      <w:rPr/>
    </w:pPr>
    <w:r>
      <w:t xml:space="preserve">                                                  </w:t>
    </w:r>
    <w:r>
      <w:rPr>
        <w:rFonts w:ascii="Calibri" w:hAnsi="Calibri" w:eastAsia="Calibri" w:cs="Calibri"/>
        <w:sz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57200" cy="609600"/>
              <wp:effectExtent l="0" t="0" r="0" b="0"/>
              <wp:docPr id="1" name="Group 14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 rot="0" flipH="0" flipV="0">
                        <a:off x="0" y="0"/>
                        <a:ext cx="457200" cy="609599"/>
                        <a:chOff x="0" y="0"/>
                        <a:chExt cx="457200" cy="609599"/>
                      </a:xfrm>
                    </wpg:grpSpPr>
                    <pic:pic xmlns:pic="http://schemas.openxmlformats.org/drawingml/2006/picture">
                      <pic:nvPicPr>
                        <pic:cNvPr id="2121704833" name="Picture 1959"/>
                        <pic:cNvPicPr/>
                        <pic:nv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-4062" y="-3555"/>
                          <a:ext cx="460247" cy="61264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id="group 0" o:spid="_x0000_s0000" style="width:36.00pt;height:48.00pt;mso-wrap-distance-left:0.00pt;mso-wrap-distance-top:0.00pt;mso-wrap-distance-right:0.00pt;mso-wrap-distance-bottom:0.00pt;rotation:0;" coordorigin="0,0" coordsize="4572,60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left:-40;top:-35;width:4602;height:6126;z-index:1;" stroked="false">
                <v:imagedata r:id="rId1" o:title=""/>
                <o:lock v:ext="edit" rotation="t"/>
              </v:shape>
            </v:group>
          </w:pict>
        </mc:Fallback>
      </mc:AlternateContent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0D058A"/>
    <w:lvl w:ilvl="0">
      <w:isLgl w:val="false"/>
      <w:lvlJc w:val="left"/>
      <w:lvlText w:val="-"/>
      <w:numFmt w:val="bullet"/>
      <w:pPr>
        <w:pBdr/>
        <w:spacing/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79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51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323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95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67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39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611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83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</w:abstractNum>
  <w:abstractNum w:abstractNumId="1">
    <w:nsid w:val="7A915498"/>
    <w:lvl w:ilvl="0">
      <w:isLgl w:val="false"/>
      <w:lvlJc w:val="left"/>
      <w:lvlText w:val="%1."/>
      <w:numFmt w:val="decimal"/>
      <w:pPr>
        <w:pBdr/>
        <w:spacing/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7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3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05"/>
    <w:next w:val="705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05"/>
    <w:next w:val="70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5"/>
    <w:next w:val="705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5"/>
    <w:next w:val="70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5"/>
    <w:next w:val="70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5"/>
    <w:next w:val="70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5"/>
    <w:next w:val="70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5"/>
    <w:next w:val="70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5"/>
    <w:next w:val="70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06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6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6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6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5"/>
    <w:next w:val="70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0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5"/>
    <w:next w:val="705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5"/>
    <w:next w:val="70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5"/>
    <w:next w:val="70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05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06"/>
    <w:link w:val="176"/>
    <w:uiPriority w:val="99"/>
    <w:pPr>
      <w:pBdr/>
      <w:spacing/>
      <w:ind/>
    </w:pPr>
  </w:style>
  <w:style w:type="paragraph" w:styleId="178">
    <w:name w:val="Footer"/>
    <w:basedOn w:val="705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06"/>
    <w:link w:val="178"/>
    <w:uiPriority w:val="99"/>
    <w:pPr>
      <w:pBdr/>
      <w:spacing/>
      <w:ind/>
    </w:pPr>
  </w:style>
  <w:style w:type="paragraph" w:styleId="180">
    <w:name w:val="Caption"/>
    <w:basedOn w:val="705"/>
    <w:next w:val="70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6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0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5"/>
    <w:next w:val="705"/>
    <w:uiPriority w:val="39"/>
    <w:unhideWhenUsed/>
    <w:pPr>
      <w:pBdr/>
      <w:spacing w:after="100"/>
      <w:ind/>
    </w:pPr>
  </w:style>
  <w:style w:type="paragraph" w:styleId="190">
    <w:name w:val="toc 2"/>
    <w:basedOn w:val="705"/>
    <w:next w:val="705"/>
    <w:uiPriority w:val="39"/>
    <w:unhideWhenUsed/>
    <w:pPr>
      <w:pBdr/>
      <w:spacing w:after="100"/>
      <w:ind w:left="220"/>
    </w:pPr>
  </w:style>
  <w:style w:type="paragraph" w:styleId="191">
    <w:name w:val="toc 3"/>
    <w:basedOn w:val="705"/>
    <w:next w:val="705"/>
    <w:uiPriority w:val="39"/>
    <w:unhideWhenUsed/>
    <w:pPr>
      <w:pBdr/>
      <w:spacing w:after="100"/>
      <w:ind w:left="440"/>
    </w:pPr>
  </w:style>
  <w:style w:type="paragraph" w:styleId="192">
    <w:name w:val="toc 4"/>
    <w:basedOn w:val="705"/>
    <w:next w:val="705"/>
    <w:uiPriority w:val="39"/>
    <w:unhideWhenUsed/>
    <w:pPr>
      <w:pBdr/>
      <w:spacing w:after="100"/>
      <w:ind w:left="660"/>
    </w:pPr>
  </w:style>
  <w:style w:type="paragraph" w:styleId="193">
    <w:name w:val="toc 5"/>
    <w:basedOn w:val="705"/>
    <w:next w:val="705"/>
    <w:uiPriority w:val="39"/>
    <w:unhideWhenUsed/>
    <w:pPr>
      <w:pBdr/>
      <w:spacing w:after="100"/>
      <w:ind w:left="880"/>
    </w:pPr>
  </w:style>
  <w:style w:type="paragraph" w:styleId="194">
    <w:name w:val="toc 6"/>
    <w:basedOn w:val="705"/>
    <w:next w:val="705"/>
    <w:uiPriority w:val="39"/>
    <w:unhideWhenUsed/>
    <w:pPr>
      <w:pBdr/>
      <w:spacing w:after="100"/>
      <w:ind w:left="1100"/>
    </w:pPr>
  </w:style>
  <w:style w:type="paragraph" w:styleId="195">
    <w:name w:val="toc 7"/>
    <w:basedOn w:val="705"/>
    <w:next w:val="705"/>
    <w:uiPriority w:val="39"/>
    <w:unhideWhenUsed/>
    <w:pPr>
      <w:pBdr/>
      <w:spacing w:after="100"/>
      <w:ind w:left="1320"/>
    </w:pPr>
  </w:style>
  <w:style w:type="paragraph" w:styleId="196">
    <w:name w:val="toc 8"/>
    <w:basedOn w:val="705"/>
    <w:next w:val="705"/>
    <w:uiPriority w:val="39"/>
    <w:unhideWhenUsed/>
    <w:pPr>
      <w:pBdr/>
      <w:spacing w:after="100"/>
      <w:ind w:left="1540"/>
    </w:pPr>
  </w:style>
  <w:style w:type="paragraph" w:styleId="197">
    <w:name w:val="toc 9"/>
    <w:basedOn w:val="705"/>
    <w:next w:val="70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5"/>
    <w:next w:val="705"/>
    <w:uiPriority w:val="99"/>
    <w:unhideWhenUsed/>
    <w:pPr>
      <w:pBdr/>
      <w:spacing w:after="0" w:afterAutospacing="0"/>
      <w:ind/>
    </w:pPr>
  </w:style>
  <w:style w:type="paragraph" w:styleId="705" w:default="1">
    <w:name w:val="Normal"/>
    <w:uiPriority w:val="0"/>
    <w:qFormat/>
    <w:pPr>
      <w:pBdr/>
      <w:spacing w:after="3" w:line="249" w:lineRule="auto"/>
      <w:ind w:firstLine="710" w:left="140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uk-UA" w:eastAsia="uk-UA" w:bidi="ar-SA"/>
    </w:rPr>
  </w:style>
  <w:style w:type="character" w:styleId="706" w:default="1">
    <w:name w:val="Default Paragraph Font"/>
    <w:uiPriority w:val="1"/>
    <w:semiHidden/>
    <w:unhideWhenUsed/>
    <w:qFormat/>
    <w:pPr>
      <w:pBdr/>
      <w:spacing/>
      <w:ind/>
    </w:pPr>
  </w:style>
  <w:style w:type="table" w:styleId="707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8">
    <w:name w:val="List Paragraph"/>
    <w:basedOn w:val="705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СТАРОДУБ Людмила Олександрівна</cp:lastModifiedBy>
  <cp:revision>13</cp:revision>
  <dcterms:created xsi:type="dcterms:W3CDTF">2025-08-13T10:03:00Z</dcterms:created>
  <dcterms:modified xsi:type="dcterms:W3CDTF">2026-08-28T07:34:19Z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1158FE96DCD24F31AD6C2BD86289CF24_13</vt:lpwstr>
  </property>
</Properties>
</file>