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3"/>
        <w:pBdr/>
        <w:spacing/>
        <w:ind w:firstLine="0"/>
        <w:rPr>
          <w:rFonts w:eastAsia="Lucida Sans Unicode" w:cs="Mangal"/>
          <w:b/>
          <w:color w:val="000000" w:themeColor="text1"/>
          <w:szCs w:val="28"/>
          <w:lang w:eastAsia="hi-IN" w:bidi="hi-IN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</w: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</w:r>
    </w:p>
    <w:p>
      <w:pPr>
        <w:pStyle w:val="713"/>
        <w:pBdr/>
        <w:spacing/>
        <w:ind w:firstLine="0"/>
        <w:rPr>
          <w:rFonts w:eastAsia="Lucida Sans Unicode" w:cs="Mangal"/>
          <w:b/>
          <w:color w:val="000000" w:themeColor="text1"/>
          <w:szCs w:val="28"/>
          <w:lang w:eastAsia="hi-IN" w:bidi="hi-IN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szCs w:val="28"/>
          <w:lang w:eastAsia="hi-IN" w:bidi="hi-IN"/>
        </w:rPr>
      </w:pPr>
      <w:r>
        <w:rPr>
          <w:rFonts w:eastAsia="Lucida Sans Unicode" w:cs="Mangal"/>
          <w:b/>
          <w:szCs w:val="28"/>
          <w:lang w:eastAsia="hi-IN" w:bidi="hi-IN"/>
        </w:rPr>
        <w:t xml:space="preserve">(сімдесят шоста </w:t>
      </w:r>
      <w:r>
        <w:rPr>
          <w:rFonts w:eastAsia="Lucida Sans Unicode" w:cs="Mangal"/>
          <w:b/>
          <w:szCs w:val="28"/>
          <w:lang w:eastAsia="hi-IN" w:bidi="hi-IN"/>
        </w:rPr>
        <w:t xml:space="preserve">сесія восьмого скликання)</w:t>
      </w:r>
      <w:r>
        <w:rPr>
          <w:rFonts w:eastAsia="Lucida Sans Unicode" w:cs="Mangal"/>
          <w:b/>
          <w:szCs w:val="28"/>
          <w:lang w:eastAsia="hi-IN" w:bidi="hi-IN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szCs w:val="28"/>
          <w:lang w:eastAsia="hi-IN" w:bidi="hi-IN"/>
        </w:rPr>
      </w:pPr>
      <w:r>
        <w:rPr>
          <w:rFonts w:eastAsia="Lucida Sans Unicode" w:cs="Mangal"/>
          <w:b/>
          <w:szCs w:val="28"/>
          <w:lang w:eastAsia="hi-IN" w:bidi="hi-IN"/>
        </w:rPr>
        <w:t xml:space="preserve">РІШЕННЯ</w:t>
      </w:r>
      <w:r>
        <w:rPr>
          <w:rFonts w:eastAsia="Lucida Sans Unicode" w:cs="Mangal"/>
          <w:b/>
          <w:szCs w:val="28"/>
          <w:lang w:eastAsia="hi-IN" w:bidi="hi-IN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szCs w:val="28"/>
          <w:lang w:eastAsia="hi-IN" w:bidi="hi-IN"/>
        </w:rPr>
      </w:pPr>
      <w:r>
        <w:rPr>
          <w:rFonts w:eastAsia="Lucida Sans Unicode" w:cs="Mangal"/>
          <w:b/>
          <w:szCs w:val="28"/>
          <w:lang w:eastAsia="hi-IN" w:bidi="hi-IN"/>
        </w:rPr>
      </w:r>
      <w:r>
        <w:rPr>
          <w:rFonts w:eastAsia="Lucida Sans Unicode" w:cs="Mangal"/>
          <w:b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4536"/>
          <w:tab w:val="left" w:leader="none" w:pos="7370"/>
        </w:tabs>
        <w:spacing/>
        <w:ind w:firstLine="0"/>
        <w:rPr>
          <w:rFonts w:eastAsia="Lucida Sans Unicode" w:cs="Mangal"/>
          <w:szCs w:val="28"/>
          <w:lang w:eastAsia="hi-IN" w:bidi="hi-IN"/>
        </w:rPr>
      </w:pPr>
      <w:r>
        <w:rPr>
          <w:rFonts w:eastAsia="Lucida Sans Unicode" w:cs="Mangal"/>
          <w:szCs w:val="28"/>
          <w:lang w:val="en-US" w:eastAsia="hi-IN" w:bidi="hi-IN"/>
        </w:rPr>
        <w:t xml:space="preserve">21</w:t>
      </w:r>
      <w:r>
        <w:rPr>
          <w:rFonts w:eastAsia="Lucida Sans Unicode" w:cs="Mangal"/>
          <w:szCs w:val="28"/>
          <w:lang w:eastAsia="hi-IN" w:bidi="hi-IN"/>
        </w:rPr>
        <w:t xml:space="preserve"> серпня 2026</w:t>
      </w:r>
      <w:r>
        <w:rPr>
          <w:rFonts w:eastAsia="Lucida Sans Unicode" w:cs="Mangal"/>
          <w:szCs w:val="28"/>
          <w:lang w:eastAsia="hi-IN" w:bidi="hi-IN"/>
        </w:rPr>
        <w:t xml:space="preserve"> року</w:t>
      </w:r>
      <w:r>
        <w:rPr>
          <w:rFonts w:eastAsia="Lucida Sans Unicode" w:cs="Mangal"/>
          <w:szCs w:val="28"/>
          <w:lang w:eastAsia="hi-IN" w:bidi="hi-IN"/>
        </w:rPr>
        <w:tab/>
      </w:r>
      <w:r>
        <w:rPr>
          <w:rFonts w:eastAsia="Lucida Sans Unicode" w:cs="Mangal"/>
          <w:szCs w:val="28"/>
          <w:lang w:eastAsia="hi-IN" w:bidi="hi-IN"/>
        </w:rPr>
        <w:t xml:space="preserve">м.Мена</w:t>
      </w:r>
      <w:r>
        <w:rPr>
          <w:rFonts w:eastAsia="Lucida Sans Unicode" w:cs="Mangal"/>
          <w:szCs w:val="28"/>
          <w:lang w:eastAsia="hi-IN" w:bidi="hi-IN"/>
        </w:rPr>
        <w:tab/>
      </w:r>
      <w:r>
        <w:rPr>
          <w:rFonts w:eastAsia="Lucida Sans Unicode" w:cs="Mangal"/>
          <w:szCs w:val="28"/>
          <w:lang w:eastAsia="hi-IN" w:bidi="hi-IN"/>
        </w:rPr>
        <w:t xml:space="preserve">№</w:t>
      </w:r>
      <w:r>
        <w:rPr>
          <w:rFonts w:eastAsia="Lucida Sans Unicode" w:cs="Mangal"/>
          <w:szCs w:val="28"/>
          <w:lang w:eastAsia="hi-IN" w:bidi="hi-IN"/>
        </w:rPr>
        <w:t xml:space="preserve"> </w:t>
      </w:r>
      <w:r>
        <w:rPr>
          <w:rFonts w:eastAsia="Lucida Sans Unicode" w:cs="Mangal"/>
          <w:szCs w:val="28"/>
          <w:lang w:val="en-US" w:eastAsia="hi-IN" w:bidi="hi-IN"/>
        </w:rPr>
        <w:t xml:space="preserve">494</w:t>
      </w:r>
      <w:r>
        <w:rPr>
          <w:rFonts w:eastAsia="Lucida Sans Unicode" w:cs="Mangal"/>
          <w:szCs w:val="28"/>
          <w:lang w:eastAsia="hi-IN" w:bidi="hi-IN"/>
        </w:rPr>
        <w:t xml:space="preserve"> </w:t>
      </w:r>
      <w:r>
        <w:rPr>
          <w:rFonts w:eastAsia="Lucida Sans Unicode" w:cs="Mangal"/>
          <w:szCs w:val="28"/>
          <w:lang w:eastAsia="hi-IN" w:bidi="hi-IN"/>
        </w:rPr>
      </w:r>
    </w:p>
    <w:p>
      <w:pPr>
        <w:pBdr/>
        <w:spacing/>
        <w:ind w:right="5526"/>
        <w:rPr>
          <w:b/>
          <w:szCs w:val="28"/>
          <w:lang w:eastAsia="ru-RU"/>
        </w:rPr>
      </w:pPr>
      <w:r>
        <w:rPr>
          <w:b/>
          <w:szCs w:val="28"/>
          <w:lang w:eastAsia="ru-RU"/>
        </w:rPr>
      </w:r>
      <w:r>
        <w:rPr>
          <w:b/>
          <w:szCs w:val="28"/>
          <w:lang w:eastAsia="ru-RU"/>
        </w:rPr>
      </w:r>
    </w:p>
    <w:p>
      <w:pPr>
        <w:keepNext w:val="true"/>
        <w:pBdr/>
        <w:spacing/>
        <w:ind w:right="5386" w:firstLine="0"/>
        <w:outlineLvl w:val="3"/>
        <w:rPr>
          <w:b/>
          <w:szCs w:val="28"/>
          <w:lang w:eastAsia="uk-UA"/>
        </w:rPr>
      </w:pPr>
      <w:r>
        <w:rPr>
          <w:b/>
          <w:szCs w:val="28"/>
          <w:lang w:eastAsia="uk-UA"/>
        </w:rPr>
        <w:t xml:space="preserve">Про виконання бюджету Менської міської територіальної громади за </w:t>
      </w:r>
      <w:r>
        <w:rPr>
          <w:b/>
          <w:szCs w:val="28"/>
          <w:lang w:eastAsia="uk-UA"/>
        </w:rPr>
        <w:t xml:space="preserve">1 півріччя 2026</w:t>
      </w:r>
      <w:r>
        <w:rPr>
          <w:b/>
          <w:szCs w:val="28"/>
          <w:lang w:eastAsia="uk-UA"/>
        </w:rPr>
        <w:t xml:space="preserve"> р</w:t>
      </w:r>
      <w:r>
        <w:rPr>
          <w:b/>
          <w:szCs w:val="28"/>
          <w:lang w:eastAsia="uk-UA"/>
        </w:rPr>
        <w:t xml:space="preserve">оку</w:t>
      </w:r>
      <w:r>
        <w:rPr>
          <w:b/>
          <w:szCs w:val="28"/>
          <w:lang w:eastAsia="uk-UA"/>
        </w:rPr>
      </w:r>
    </w:p>
    <w:p>
      <w:pPr>
        <w:pBdr/>
        <w:spacing/>
        <w:ind w:right="-1" w:firstLine="851"/>
        <w:rPr>
          <w:szCs w:val="28"/>
          <w:lang w:eastAsia="ru-RU"/>
        </w:rPr>
      </w:pP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904"/>
        <w:pBdr/>
        <w:spacing w:after="0" w:line="240" w:lineRule="auto"/>
        <w:ind w:right="-1" w:firstLine="567"/>
        <w:jc w:val="both"/>
        <w:rPr>
          <w:rFonts w:ascii="Times New Roman" w:hAnsi="Times New Roman" w:eastAsia="Times New Roman"/>
          <w:sz w:val="28"/>
          <w:szCs w:val="20"/>
          <w:lang w:eastAsia="ru-RU"/>
        </w:rPr>
      </w:pPr>
      <w:r>
        <w:rPr>
          <w:rFonts w:ascii="Times New Roman" w:hAnsi="Times New Roman" w:eastAsia="Times New Roman"/>
          <w:sz w:val="28"/>
          <w:szCs w:val="20"/>
          <w:lang w:eastAsia="ru-RU"/>
        </w:rPr>
        <w:t xml:space="preserve">Заслухавши звіт начальника Фінансового управління Менської міської ради </w:t>
      </w:r>
      <w:r>
        <w:rPr>
          <w:rFonts w:ascii="Times New Roman" w:hAnsi="Times New Roman" w:eastAsia="Times New Roman"/>
          <w:sz w:val="28"/>
          <w:szCs w:val="20"/>
          <w:lang w:eastAsia="ru-RU"/>
        </w:rPr>
        <w:t xml:space="preserve">Нерослик</w:t>
      </w:r>
      <w:r>
        <w:rPr>
          <w:rFonts w:ascii="Times New Roman" w:hAnsi="Times New Roman" w:eastAsia="Times New Roman"/>
          <w:sz w:val="28"/>
          <w:szCs w:val="20"/>
          <w:lang w:eastAsia="ru-RU"/>
        </w:rPr>
        <w:t xml:space="preserve"> А.П. про виконання бюджету Менської міської тери</w:t>
      </w:r>
      <w:r>
        <w:rPr>
          <w:rFonts w:ascii="Times New Roman" w:hAnsi="Times New Roman" w:eastAsia="Times New Roman"/>
          <w:sz w:val="28"/>
          <w:szCs w:val="20"/>
          <w:lang w:eastAsia="ru-RU"/>
        </w:rPr>
        <w:t xml:space="preserve">торіальної громади за 1 півріччя 2026 року</w:t>
      </w:r>
      <w:r>
        <w:rPr>
          <w:rFonts w:ascii="Times New Roman" w:hAnsi="Times New Roman" w:eastAsia="Times New Roman"/>
          <w:sz w:val="28"/>
          <w:szCs w:val="20"/>
          <w:lang w:eastAsia="ru-RU"/>
        </w:rPr>
        <w:t xml:space="preserve">, у відповідності з вимогами п.4 ст.80 Бюджетного кодексу України, керуючись ст. 26 Закону України «Про місцеве самоврядування в Україні», Менська міська рада</w:t>
      </w:r>
      <w:r>
        <w:rPr>
          <w:rFonts w:ascii="Times New Roman" w:hAnsi="Times New Roman" w:eastAsia="Times New Roman"/>
          <w:sz w:val="28"/>
          <w:szCs w:val="20"/>
          <w:lang w:eastAsia="ru-RU"/>
        </w:rPr>
      </w:r>
    </w:p>
    <w:p>
      <w:pPr>
        <w:pStyle w:val="904"/>
        <w:pBdr/>
        <w:spacing w:after="0" w:line="240" w:lineRule="auto"/>
        <w:ind w:right="-1" w:firstLine="0"/>
        <w:jc w:val="both"/>
        <w:rPr>
          <w:rFonts w:ascii="Times New Roman" w:hAnsi="Times New Roman" w:eastAsia="Times New Roman"/>
          <w:sz w:val="28"/>
          <w:szCs w:val="20"/>
          <w:lang w:eastAsia="ru-RU"/>
        </w:rPr>
      </w:pPr>
      <w:r>
        <w:rPr>
          <w:rFonts w:ascii="Times New Roman" w:hAnsi="Times New Roman" w:eastAsia="Times New Roman"/>
          <w:sz w:val="28"/>
          <w:szCs w:val="20"/>
          <w:lang w:eastAsia="ru-RU"/>
        </w:rPr>
        <w:t xml:space="preserve">ВИРІШИЛА :</w:t>
      </w:r>
      <w:r>
        <w:rPr>
          <w:rFonts w:ascii="Times New Roman" w:hAnsi="Times New Roman" w:eastAsia="Times New Roman"/>
          <w:sz w:val="28"/>
          <w:szCs w:val="20"/>
          <w:lang w:eastAsia="ru-RU"/>
        </w:rPr>
      </w:r>
    </w:p>
    <w:p>
      <w:pPr>
        <w:pStyle w:val="904"/>
        <w:suppressLineNumbers w:val="false"/>
        <w:pBdr/>
        <w:spacing w:after="0" w:line="240" w:lineRule="auto"/>
        <w:ind w:right="-1" w:firstLine="567"/>
        <w:jc w:val="both"/>
        <w:rPr>
          <w:rFonts w:ascii="Times New Roman" w:hAnsi="Times New Roman" w:eastAsia="Times New Roman"/>
          <w:sz w:val="28"/>
          <w:szCs w:val="20"/>
        </w:rPr>
      </w:pPr>
      <w:r>
        <w:rPr>
          <w:rFonts w:ascii="Times New Roman" w:hAnsi="Times New Roman" w:eastAsia="Times New Roman"/>
          <w:sz w:val="28"/>
          <w:szCs w:val="20"/>
          <w:lang w:eastAsia="ru-RU"/>
        </w:rPr>
        <w:t xml:space="preserve">1. Затверд</w:t>
      </w:r>
      <w:r>
        <w:rPr>
          <w:rFonts w:ascii="Times New Roman" w:hAnsi="Times New Roman" w:eastAsia="Times New Roman"/>
          <w:sz w:val="28"/>
          <w:szCs w:val="20"/>
          <w:lang w:eastAsia="ru-RU"/>
        </w:rPr>
        <w:t xml:space="preserve">ити звіт про виконання бюджету Менської міської тери</w:t>
      </w:r>
      <w:r>
        <w:rPr>
          <w:rFonts w:ascii="Times New Roman" w:hAnsi="Times New Roman" w:eastAsia="Times New Roman"/>
          <w:sz w:val="28"/>
          <w:szCs w:val="20"/>
          <w:lang w:eastAsia="ru-RU"/>
        </w:rPr>
        <w:t xml:space="preserve">торіальної громади за 1 півріччя 2026 року</w:t>
      </w:r>
      <w:r>
        <w:rPr>
          <w:rFonts w:ascii="Times New Roman" w:hAnsi="Times New Roman" w:eastAsia="Times New Roman"/>
          <w:sz w:val="28"/>
          <w:szCs w:val="20"/>
          <w:lang w:eastAsia="ru-RU"/>
        </w:rPr>
        <w:t xml:space="preserve">:</w:t>
      </w:r>
      <w:r>
        <w:rPr>
          <w:rFonts w:ascii="Times New Roman" w:hAnsi="Times New Roman" w:eastAsia="Times New Roman"/>
          <w:sz w:val="28"/>
          <w:szCs w:val="20"/>
          <w:lang w:eastAsia="ru-RU"/>
        </w:rPr>
      </w:r>
    </w:p>
    <w:p>
      <w:pPr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567"/>
        <w:rPr>
          <w:color w:val="auto"/>
          <w:sz w:val="24"/>
          <w:szCs w:val="24"/>
        </w:rPr>
      </w:pPr>
      <w:r>
        <w:rPr>
          <w:szCs w:val="28"/>
          <w:lang w:eastAsia="uk-UA"/>
        </w:rPr>
        <w:t xml:space="preserve">- по доходах в сумі </w:t>
      </w:r>
      <w:r>
        <w:rPr>
          <w:szCs w:val="28"/>
          <w:lang w:eastAsia="uk-UA"/>
        </w:rPr>
        <w:t xml:space="preserve">314340510,61</w:t>
      </w:r>
      <w:r>
        <w:rPr>
          <w:szCs w:val="28"/>
          <w:lang w:eastAsia="uk-UA"/>
        </w:rPr>
        <w:t xml:space="preserve"> грн., в тому числі по доходах загального фонду бюджету в сумі </w:t>
      </w:r>
      <w:r>
        <w:rPr>
          <w:szCs w:val="28"/>
          <w:lang w:eastAsia="uk-UA"/>
        </w:rPr>
        <w:t xml:space="preserve">297774250,37</w:t>
      </w:r>
      <w:r>
        <w:rPr>
          <w:szCs w:val="28"/>
          <w:lang w:eastAsia="uk-UA"/>
        </w:rPr>
        <w:t xml:space="preserve"> грн. та по доходах спеціального фонду бюджету в сумі </w:t>
      </w:r>
      <w:r>
        <w:rPr>
          <w:szCs w:val="28"/>
          <w:lang w:eastAsia="uk-UA"/>
        </w:rPr>
        <w:t xml:space="preserve">16566260,24</w:t>
      </w:r>
      <w:r>
        <w:rPr>
          <w:szCs w:val="28"/>
          <w:lang w:eastAsia="uk-UA"/>
        </w:rPr>
        <w:t xml:space="preserve"> грн. згідно додатку 1 до даного рішення (додається);</w:t>
      </w:r>
      <w:r>
        <w:rPr>
          <w:color w:val="auto"/>
          <w:sz w:val="24"/>
          <w:szCs w:val="24"/>
          <w:lang w:eastAsia="uk-UA"/>
        </w:rPr>
      </w:r>
    </w:p>
    <w:p>
      <w:pPr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567"/>
        <w:rPr>
          <w:color w:val="auto"/>
          <w:sz w:val="24"/>
          <w:szCs w:val="24"/>
        </w:rPr>
      </w:pPr>
      <w:r>
        <w:rPr>
          <w:szCs w:val="28"/>
          <w:lang w:eastAsia="uk-UA"/>
        </w:rPr>
        <w:t xml:space="preserve">- по видатках в сумі </w:t>
      </w:r>
      <w:r>
        <w:rPr>
          <w:szCs w:val="28"/>
          <w:lang w:eastAsia="uk-UA"/>
        </w:rPr>
        <w:t xml:space="preserve">254151447,94</w:t>
      </w:r>
      <w:r>
        <w:rPr>
          <w:szCs w:val="28"/>
          <w:lang w:eastAsia="uk-UA"/>
        </w:rPr>
        <w:t xml:space="preserve"> грн., в тому числі по видатках загального фонду бюджету в сумі </w:t>
      </w:r>
      <w:r>
        <w:rPr>
          <w:szCs w:val="28"/>
          <w:lang w:eastAsia="uk-UA"/>
        </w:rPr>
        <w:t xml:space="preserve">208824178,68</w:t>
      </w:r>
      <w:r>
        <w:rPr>
          <w:szCs w:val="28"/>
          <w:lang w:eastAsia="uk-UA"/>
        </w:rPr>
        <w:t xml:space="preserve"> грн. та по видатках спеціального фонду бюджету в сумі </w:t>
      </w:r>
      <w:r>
        <w:rPr>
          <w:szCs w:val="28"/>
          <w:lang w:eastAsia="uk-UA"/>
        </w:rPr>
        <w:t xml:space="preserve">45327269,26</w:t>
      </w:r>
      <w:r>
        <w:rPr>
          <w:szCs w:val="28"/>
          <w:lang w:eastAsia="uk-UA"/>
        </w:rPr>
        <w:t xml:space="preserve"> грн. згідно додатку 2 до даного рішення (додається);</w:t>
      </w:r>
      <w:r>
        <w:rPr>
          <w:color w:val="auto"/>
          <w:sz w:val="24"/>
          <w:szCs w:val="24"/>
          <w:lang w:eastAsia="uk-UA"/>
        </w:rPr>
      </w:r>
    </w:p>
    <w:p>
      <w:pPr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567"/>
        <w:rPr>
          <w:color w:val="auto"/>
          <w:sz w:val="24"/>
          <w:szCs w:val="24"/>
        </w:rPr>
      </w:pPr>
      <w:r>
        <w:rPr>
          <w:szCs w:val="28"/>
          <w:lang w:eastAsia="uk-UA"/>
        </w:rPr>
        <w:t xml:space="preserve">- по поверненню кредитів до мі</w:t>
      </w:r>
      <w:r>
        <w:rPr>
          <w:szCs w:val="28"/>
          <w:lang w:eastAsia="uk-UA"/>
        </w:rPr>
        <w:t xml:space="preserve">сцевого бюджету в сумі </w:t>
      </w:r>
      <w:r>
        <w:rPr>
          <w:szCs w:val="28"/>
          <w:lang w:eastAsia="uk-UA"/>
        </w:rPr>
        <w:t xml:space="preserve">44345,04</w:t>
      </w:r>
      <w:r>
        <w:rPr>
          <w:szCs w:val="28"/>
          <w:lang w:eastAsia="uk-UA"/>
        </w:rPr>
        <w:t xml:space="preserve"> грн., в тому числі повернення кредитів до спеціального фон</w:t>
      </w:r>
      <w:r>
        <w:rPr>
          <w:szCs w:val="28"/>
          <w:lang w:eastAsia="uk-UA"/>
        </w:rPr>
        <w:t xml:space="preserve">ду місцевого бюджету – </w:t>
      </w:r>
      <w:r>
        <w:rPr>
          <w:szCs w:val="28"/>
          <w:lang w:eastAsia="uk-UA"/>
        </w:rPr>
        <w:t xml:space="preserve">44345,04</w:t>
      </w:r>
      <w:r>
        <w:rPr>
          <w:szCs w:val="28"/>
          <w:lang w:eastAsia="uk-UA"/>
        </w:rPr>
        <w:t xml:space="preserve"> грн. згідно додатку 2 до даного рішення (додається);</w:t>
      </w:r>
      <w:r>
        <w:rPr>
          <w:color w:val="auto"/>
          <w:sz w:val="24"/>
          <w:szCs w:val="24"/>
          <w:lang w:eastAsia="uk-UA"/>
        </w:rPr>
      </w:r>
    </w:p>
    <w:p>
      <w:pPr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567"/>
        <w:rPr>
          <w:szCs w:val="28"/>
        </w:rPr>
      </w:pPr>
      <w:r>
        <w:rPr>
          <w:szCs w:val="28"/>
          <w:lang w:eastAsia="uk-UA"/>
        </w:rPr>
        <w:t xml:space="preserve">- по наданню кредитів з місцевого бюджету у сумі 0,00 грн., у тому числі надання кредитів із спеціального фонду місцевого бюджету – 0,00 грн. згідно додатку 2 до даного рішення (додається);</w:t>
      </w:r>
      <w:r>
        <w:rPr>
          <w:szCs w:val="28"/>
          <w:lang w:val="en-US" w:eastAsia="uk-UA"/>
        </w:rPr>
      </w:r>
    </w:p>
    <w:p>
      <w:pPr>
        <w:pStyle w:val="902"/>
        <w:suppressLineNumbers w:val="false"/>
        <w:pBdr/>
        <w:spacing w:after="0" w:afterAutospacing="0" w:before="0" w:beforeAutospacing="0"/>
        <w:ind w:firstLine="567"/>
        <w:rPr/>
      </w:pPr>
      <w:r>
        <w:rPr>
          <w:b/>
          <w:bCs/>
          <w:color w:val="000000"/>
          <w:sz w:val="28"/>
          <w:szCs w:val="28"/>
          <w:lang w:val="en-US"/>
        </w:rPr>
        <w:t xml:space="preserve">- </w:t>
      </w:r>
      <w:r>
        <w:rPr>
          <w:color w:val="000000"/>
          <w:sz w:val="28"/>
          <w:szCs w:val="28"/>
        </w:rPr>
        <w:t xml:space="preserve">профіцит </w:t>
      </w:r>
      <w:r>
        <w:rPr>
          <w:color w:val="000000"/>
          <w:sz w:val="28"/>
          <w:szCs w:val="28"/>
        </w:rPr>
        <w:t xml:space="preserve">за загальним фондом місцевого бюджету у сумі </w:t>
      </w:r>
      <w:r>
        <w:rPr>
          <w:color w:val="000000"/>
          <w:sz w:val="28"/>
          <w:szCs w:val="28"/>
          <w:lang w:val="en-US"/>
        </w:rPr>
        <w:t xml:space="preserve">– 88950071,69 </w:t>
      </w:r>
      <w:r>
        <w:rPr>
          <w:color w:val="000000"/>
          <w:sz w:val="28"/>
          <w:szCs w:val="28"/>
        </w:rPr>
        <w:t xml:space="preserve">грн. згідно з додатком 2 до </w:t>
      </w:r>
      <w:r>
        <w:rPr>
          <w:color w:val="000000"/>
          <w:sz w:val="28"/>
          <w:szCs w:val="28"/>
        </w:rPr>
        <w:t xml:space="preserve">даного</w:t>
      </w:r>
      <w:r>
        <w:rPr>
          <w:color w:val="000000"/>
          <w:sz w:val="28"/>
          <w:szCs w:val="28"/>
        </w:rPr>
        <w:t xml:space="preserve"> рішення;</w:t>
      </w:r>
      <w:r/>
    </w:p>
    <w:p>
      <w:pPr>
        <w:pStyle w:val="903"/>
        <w:suppressLineNumbers w:val="false"/>
        <w:pBdr/>
        <w:spacing w:after="0" w:afterAutospacing="0" w:before="0" w:beforeAutospacing="0"/>
        <w:ind w:firstLine="567"/>
        <w:rPr/>
      </w:pPr>
      <w:r>
        <w:rPr>
          <w:color w:val="000000"/>
          <w:sz w:val="28"/>
          <w:szCs w:val="28"/>
        </w:rPr>
        <w:t xml:space="preserve">дефіцит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 спеціальним фондом місцевого бюджету у сумі – 28716663,98 грн. згідно з додатком 2 до </w:t>
      </w:r>
      <w:r>
        <w:rPr>
          <w:color w:val="000000"/>
          <w:sz w:val="28"/>
          <w:szCs w:val="28"/>
        </w:rPr>
        <w:t xml:space="preserve">даного</w:t>
      </w:r>
      <w:r>
        <w:rPr>
          <w:color w:val="000000"/>
          <w:sz w:val="28"/>
          <w:szCs w:val="28"/>
        </w:rPr>
        <w:t xml:space="preserve"> рішення;</w:t>
      </w:r>
      <w:r>
        <w:rPr>
          <w:lang w:val="en-US"/>
        </w:rPr>
      </w:r>
    </w:p>
    <w:p>
      <w:pPr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567"/>
        <w:rPr>
          <w:color w:val="auto"/>
          <w:sz w:val="24"/>
          <w:szCs w:val="24"/>
        </w:rPr>
      </w:pPr>
      <w:r>
        <w:rPr>
          <w:szCs w:val="28"/>
          <w:lang w:eastAsia="uk-UA"/>
        </w:rPr>
        <w:t xml:space="preserve">- по виконанню місцевих/регіональних пр</w:t>
      </w:r>
      <w:r>
        <w:rPr>
          <w:szCs w:val="28"/>
          <w:lang w:eastAsia="uk-UA"/>
        </w:rPr>
        <w:t xml:space="preserve">ограм бюджету в сумі </w:t>
      </w:r>
      <w:r>
        <w:rPr>
          <w:szCs w:val="28"/>
          <w:lang w:eastAsia="uk-UA"/>
        </w:rPr>
        <w:t xml:space="preserve">27374882,69</w:t>
      </w:r>
      <w:r>
        <w:rPr>
          <w:szCs w:val="28"/>
          <w:lang w:eastAsia="uk-UA"/>
        </w:rPr>
        <w:t xml:space="preserve"> грн., в тому числі по заг</w:t>
      </w:r>
      <w:r>
        <w:rPr>
          <w:szCs w:val="28"/>
          <w:lang w:eastAsia="uk-UA"/>
        </w:rPr>
        <w:t xml:space="preserve">альному фонду в сумі </w:t>
      </w:r>
      <w:r>
        <w:rPr>
          <w:szCs w:val="28"/>
          <w:lang w:eastAsia="uk-UA"/>
        </w:rPr>
        <w:t xml:space="preserve">27115183,58</w:t>
      </w:r>
      <w:r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 xml:space="preserve">грн. та по спец</w:t>
      </w:r>
      <w:r>
        <w:rPr>
          <w:szCs w:val="28"/>
          <w:lang w:eastAsia="uk-UA"/>
        </w:rPr>
        <w:t xml:space="preserve">іальному фонду в сумі </w:t>
      </w:r>
      <w:r>
        <w:rPr>
          <w:szCs w:val="28"/>
          <w:lang w:eastAsia="uk-UA"/>
        </w:rPr>
        <w:t xml:space="preserve">259699,11</w:t>
      </w:r>
      <w:r>
        <w:rPr>
          <w:szCs w:val="28"/>
          <w:lang w:eastAsia="uk-UA"/>
        </w:rPr>
        <w:t xml:space="preserve"> грн. згідно додатку 3 до даного рішення (додається).</w:t>
      </w:r>
      <w:r>
        <w:rPr>
          <w:color w:val="auto"/>
          <w:sz w:val="24"/>
          <w:szCs w:val="24"/>
          <w:lang w:eastAsia="uk-UA"/>
        </w:rPr>
      </w:r>
    </w:p>
    <w:p>
      <w:pPr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567"/>
        <w:rPr>
          <w:color w:val="auto"/>
          <w:sz w:val="24"/>
          <w:szCs w:val="24"/>
        </w:rPr>
      </w:pPr>
      <w:r>
        <w:rPr>
          <w:szCs w:val="28"/>
          <w:lang w:eastAsia="uk-UA"/>
        </w:rPr>
        <w:t xml:space="preserve">Додатки №1, 2, 3 до цього рішення є його невід’ємною частиною.</w:t>
      </w:r>
      <w:r>
        <w:rPr>
          <w:color w:val="auto"/>
          <w:sz w:val="24"/>
          <w:szCs w:val="24"/>
          <w:lang w:eastAsia="uk-UA"/>
        </w:rPr>
      </w:r>
    </w:p>
    <w:p>
      <w:pPr>
        <w:suppressLineNumbers w:val="false"/>
        <w:pBdr/>
        <w:spacing/>
        <w:ind w:right="-1" w:firstLine="567"/>
        <w:rPr>
          <w:szCs w:val="20"/>
          <w:lang w:eastAsia="ru-RU"/>
        </w:rPr>
      </w:pPr>
      <w:r>
        <w:rPr>
          <w:szCs w:val="20"/>
          <w:lang w:eastAsia="ru-RU"/>
        </w:rPr>
        <w:t xml:space="preserve">2. Кон</w:t>
      </w:r>
      <w:r>
        <w:rPr>
          <w:szCs w:val="20"/>
          <w:lang w:eastAsia="ru-RU"/>
        </w:rPr>
        <w:t xml:space="preserve">троль за виконанням цього рішення покласти на постійну комісію з питань планування, фінансів, бюджету, соціально-економічного розвитку, житлово-комунального господарства та комунального майна.</w:t>
      </w:r>
      <w:r>
        <w:rPr>
          <w:szCs w:val="20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709"/>
        <w:rPr>
          <w:color w:val="auto"/>
          <w:sz w:val="24"/>
          <w:szCs w:val="24"/>
          <w:lang w:val="en-US" w:eastAsia="uk-UA"/>
        </w:rPr>
      </w:pPr>
      <w:r>
        <w:rPr>
          <w:color w:val="auto"/>
          <w:sz w:val="24"/>
          <w:szCs w:val="24"/>
          <w:lang w:val="en-US" w:eastAsia="uk-UA"/>
        </w:rPr>
      </w:r>
      <w:r>
        <w:rPr>
          <w:color w:val="auto"/>
          <w:sz w:val="24"/>
          <w:szCs w:val="24"/>
          <w:lang w:val="en-US"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6520"/>
        </w:tabs>
        <w:spacing/>
        <w:ind w:right="-1" w:firstLine="0"/>
        <w:rPr>
          <w:b w:val="0"/>
          <w:bCs w:val="0"/>
          <w:color w:val="auto"/>
          <w:szCs w:val="28"/>
        </w:rPr>
      </w:pPr>
      <w:r>
        <w:rPr>
          <w:b w:val="0"/>
          <w:bCs w:val="0"/>
          <w:color w:val="auto"/>
          <w:szCs w:val="28"/>
          <w:lang w:eastAsia="uk-UA"/>
        </w:rPr>
        <w:t xml:space="preserve">Секретар ради</w:t>
        <w:tab/>
        <w:t xml:space="preserve">Юрій СТАЛЬНИЧЕНКО</w:t>
      </w:r>
      <w:r>
        <w:rPr>
          <w:b w:val="0"/>
          <w:bCs w:val="0"/>
          <w:color w:val="auto"/>
          <w:szCs w:val="28"/>
          <w:lang w:eastAsia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22"/>
    <w:link w:val="7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22"/>
    <w:link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22"/>
    <w:link w:val="7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22"/>
    <w:link w:val="71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22"/>
    <w:link w:val="7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22"/>
    <w:link w:val="71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22"/>
    <w:link w:val="71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22"/>
    <w:link w:val="72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22"/>
    <w:link w:val="72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22"/>
    <w:link w:val="7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22"/>
    <w:link w:val="7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22"/>
    <w:link w:val="7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22"/>
    <w:link w:val="75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722"/>
    <w:link w:val="752"/>
    <w:uiPriority w:val="99"/>
    <w:pPr>
      <w:pBdr/>
      <w:spacing/>
      <w:ind/>
    </w:pPr>
  </w:style>
  <w:style w:type="character" w:styleId="181">
    <w:name w:val="Footnote Text Char"/>
    <w:basedOn w:val="722"/>
    <w:link w:val="885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22"/>
    <w:link w:val="888"/>
    <w:uiPriority w:val="99"/>
    <w:semiHidden/>
    <w:pPr>
      <w:pBdr/>
      <w:spacing/>
      <w:ind/>
    </w:pPr>
    <w:rPr>
      <w:sz w:val="20"/>
      <w:szCs w:val="20"/>
    </w:rPr>
  </w:style>
  <w:style w:type="paragraph" w:styleId="712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13">
    <w:name w:val="Heading 1"/>
    <w:basedOn w:val="712"/>
    <w:next w:val="712"/>
    <w:link w:val="733"/>
    <w:uiPriority w:val="9"/>
    <w:qFormat/>
    <w:pPr>
      <w:widowControl w:val="false"/>
      <w:pBdr/>
      <w:spacing/>
      <w:ind/>
      <w:jc w:val="center"/>
      <w:outlineLvl w:val="0"/>
    </w:pPr>
  </w:style>
  <w:style w:type="paragraph" w:styleId="714">
    <w:name w:val="Heading 2"/>
    <w:basedOn w:val="712"/>
    <w:next w:val="712"/>
    <w:link w:val="734"/>
    <w:uiPriority w:val="9"/>
    <w:unhideWhenUsed/>
    <w:qFormat/>
    <w:pPr>
      <w:pBdr/>
      <w:tabs>
        <w:tab w:val="left" w:leader="none" w:pos="4394"/>
        <w:tab w:val="left" w:leader="none" w:pos="7370"/>
      </w:tabs>
      <w:spacing w:after="170" w:before="170"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15">
    <w:name w:val="Heading 3"/>
    <w:basedOn w:val="712"/>
    <w:next w:val="712"/>
    <w:link w:val="735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16">
    <w:name w:val="Heading 4"/>
    <w:basedOn w:val="712"/>
    <w:next w:val="712"/>
    <w:link w:val="736"/>
    <w:uiPriority w:val="9"/>
    <w:unhideWhenUsed/>
    <w:qFormat/>
    <w:pPr>
      <w:pBdr/>
      <w:spacing/>
      <w:ind w:firstLine="0"/>
      <w:outlineLvl w:val="3"/>
    </w:pPr>
  </w:style>
  <w:style w:type="paragraph" w:styleId="717">
    <w:name w:val="Heading 5"/>
    <w:basedOn w:val="712"/>
    <w:next w:val="712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712"/>
    <w:next w:val="712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19">
    <w:name w:val="Heading 7"/>
    <w:basedOn w:val="712"/>
    <w:next w:val="712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20">
    <w:name w:val="Heading 8"/>
    <w:basedOn w:val="712"/>
    <w:next w:val="712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21">
    <w:name w:val="Heading 9"/>
    <w:basedOn w:val="712"/>
    <w:next w:val="712"/>
    <w:link w:val="74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  <w:pPr>
      <w:pBdr/>
      <w:spacing/>
      <w:ind/>
    </w:pPr>
  </w:style>
  <w:style w:type="table" w:styleId="72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4" w:default="1">
    <w:name w:val="No List"/>
    <w:uiPriority w:val="99"/>
    <w:semiHidden/>
    <w:unhideWhenUsed/>
    <w:pPr>
      <w:pBdr/>
      <w:spacing/>
      <w:ind/>
    </w:pPr>
  </w:style>
  <w:style w:type="character" w:styleId="725">
    <w:name w:val="Intense Emphasis"/>
    <w:basedOn w:val="722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26">
    <w:name w:val="Intense Reference"/>
    <w:basedOn w:val="722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27">
    <w:name w:val="Subtle Emphasis"/>
    <w:basedOn w:val="7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8">
    <w:name w:val="Emphasis"/>
    <w:basedOn w:val="722"/>
    <w:uiPriority w:val="20"/>
    <w:qFormat/>
    <w:pPr>
      <w:pBdr/>
      <w:spacing/>
      <w:ind/>
    </w:pPr>
    <w:rPr>
      <w:i/>
      <w:iCs/>
    </w:rPr>
  </w:style>
  <w:style w:type="character" w:styleId="729">
    <w:name w:val="Strong"/>
    <w:basedOn w:val="722"/>
    <w:uiPriority w:val="22"/>
    <w:qFormat/>
    <w:pPr>
      <w:pBdr/>
      <w:spacing/>
      <w:ind/>
    </w:pPr>
    <w:rPr>
      <w:b/>
      <w:bCs/>
    </w:rPr>
  </w:style>
  <w:style w:type="character" w:styleId="730">
    <w:name w:val="Subtle Reference"/>
    <w:basedOn w:val="7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1">
    <w:name w:val="Book Title"/>
    <w:basedOn w:val="72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2">
    <w:name w:val="FollowedHyperlink"/>
    <w:basedOn w:val="722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33" w:customStyle="1">
    <w:name w:val="Заголовок 1 Знак"/>
    <w:link w:val="713"/>
    <w:uiPriority w:val="9"/>
    <w:pPr>
      <w:pBdr/>
      <w:spacing/>
      <w:ind/>
    </w:pPr>
  </w:style>
  <w:style w:type="character" w:styleId="734" w:customStyle="1">
    <w:name w:val="Заголовок 2 Знак"/>
    <w:link w:val="714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35" w:customStyle="1">
    <w:name w:val="Заголовок 3 Знак"/>
    <w:link w:val="715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6" w:customStyle="1">
    <w:name w:val="Заголовок 4 Знак"/>
    <w:link w:val="716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737" w:customStyle="1">
    <w:name w:val="Заголовок 5 Знак"/>
    <w:basedOn w:val="722"/>
    <w:link w:val="71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8" w:customStyle="1">
    <w:name w:val="Заголовок 6 Знак"/>
    <w:basedOn w:val="722"/>
    <w:link w:val="71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9" w:customStyle="1">
    <w:name w:val="Заголовок 7 Знак"/>
    <w:basedOn w:val="722"/>
    <w:link w:val="71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0" w:customStyle="1">
    <w:name w:val="Заголовок 8 Знак"/>
    <w:basedOn w:val="722"/>
    <w:link w:val="72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1" w:customStyle="1">
    <w:name w:val="Заголовок 9 Знак"/>
    <w:basedOn w:val="722"/>
    <w:link w:val="72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2">
    <w:name w:val="List Paragraph"/>
    <w:basedOn w:val="712"/>
    <w:uiPriority w:val="34"/>
    <w:qFormat/>
    <w:pPr>
      <w:pBdr/>
      <w:spacing/>
      <w:ind w:left="720"/>
      <w:contextualSpacing w:val="true"/>
    </w:pPr>
  </w:style>
  <w:style w:type="paragraph" w:styleId="743">
    <w:name w:val="No Spacing"/>
    <w:basedOn w:val="712"/>
    <w:uiPriority w:val="1"/>
    <w:qFormat/>
    <w:pPr>
      <w:pBdr/>
      <w:spacing w:after="227" w:before="113"/>
      <w:ind w:right="5528" w:firstLine="0"/>
    </w:pPr>
    <w:rPr>
      <w:b/>
    </w:rPr>
  </w:style>
  <w:style w:type="paragraph" w:styleId="744">
    <w:name w:val="Title"/>
    <w:basedOn w:val="712"/>
    <w:next w:val="712"/>
    <w:link w:val="74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5" w:customStyle="1">
    <w:name w:val="Назва Знак"/>
    <w:basedOn w:val="722"/>
    <w:link w:val="744"/>
    <w:uiPriority w:val="10"/>
    <w:pPr>
      <w:pBdr/>
      <w:spacing/>
      <w:ind/>
    </w:pPr>
    <w:rPr>
      <w:sz w:val="48"/>
      <w:szCs w:val="48"/>
    </w:rPr>
  </w:style>
  <w:style w:type="paragraph" w:styleId="746">
    <w:name w:val="Subtitle"/>
    <w:basedOn w:val="712"/>
    <w:next w:val="712"/>
    <w:link w:val="74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7" w:customStyle="1">
    <w:name w:val="Підзаголовок Знак"/>
    <w:basedOn w:val="722"/>
    <w:link w:val="746"/>
    <w:uiPriority w:val="11"/>
    <w:pPr>
      <w:pBdr/>
      <w:spacing/>
      <w:ind/>
    </w:pPr>
    <w:rPr>
      <w:sz w:val="24"/>
      <w:szCs w:val="24"/>
    </w:rPr>
  </w:style>
  <w:style w:type="paragraph" w:styleId="748">
    <w:name w:val="Quote"/>
    <w:basedOn w:val="712"/>
    <w:next w:val="712"/>
    <w:link w:val="749"/>
    <w:uiPriority w:val="29"/>
    <w:qFormat/>
    <w:pPr>
      <w:pBdr/>
      <w:spacing/>
      <w:ind w:right="720" w:left="720"/>
    </w:pPr>
    <w:rPr>
      <w:i/>
    </w:rPr>
  </w:style>
  <w:style w:type="character" w:styleId="749" w:customStyle="1">
    <w:name w:val="Цитата Знак"/>
    <w:link w:val="748"/>
    <w:uiPriority w:val="29"/>
    <w:pPr>
      <w:pBdr/>
      <w:spacing/>
      <w:ind/>
    </w:pPr>
    <w:rPr>
      <w:i/>
    </w:rPr>
  </w:style>
  <w:style w:type="paragraph" w:styleId="750">
    <w:name w:val="Intense Quote"/>
    <w:basedOn w:val="712"/>
    <w:next w:val="712"/>
    <w:link w:val="75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51" w:customStyle="1">
    <w:name w:val="Насичена цитата Знак"/>
    <w:link w:val="750"/>
    <w:uiPriority w:val="30"/>
    <w:pPr>
      <w:pBdr/>
      <w:spacing/>
      <w:ind/>
    </w:pPr>
    <w:rPr>
      <w:i/>
    </w:rPr>
  </w:style>
  <w:style w:type="paragraph" w:styleId="752">
    <w:name w:val="Header"/>
    <w:basedOn w:val="712"/>
    <w:link w:val="75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53" w:customStyle="1">
    <w:name w:val="Верхній колонтитул Знак"/>
    <w:basedOn w:val="722"/>
    <w:link w:val="752"/>
    <w:uiPriority w:val="99"/>
    <w:pPr>
      <w:pBdr/>
      <w:spacing/>
      <w:ind/>
    </w:pPr>
  </w:style>
  <w:style w:type="paragraph" w:styleId="754">
    <w:name w:val="Footer"/>
    <w:basedOn w:val="712"/>
    <w:link w:val="75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55" w:customStyle="1">
    <w:name w:val="Footer Char"/>
    <w:basedOn w:val="722"/>
    <w:uiPriority w:val="99"/>
    <w:pPr>
      <w:pBdr/>
      <w:spacing/>
      <w:ind/>
    </w:pPr>
  </w:style>
  <w:style w:type="paragraph" w:styleId="756">
    <w:name w:val="Caption"/>
    <w:basedOn w:val="712"/>
    <w:next w:val="71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7" w:customStyle="1">
    <w:name w:val="Нижній колонтитул Знак"/>
    <w:link w:val="754"/>
    <w:uiPriority w:val="99"/>
    <w:pPr>
      <w:pBdr/>
      <w:spacing/>
      <w:ind/>
    </w:pPr>
  </w:style>
  <w:style w:type="table" w:styleId="758">
    <w:name w:val="Table Grid"/>
    <w:basedOn w:val="72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Table Grid Light"/>
    <w:basedOn w:val="72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1"/>
    <w:basedOn w:val="72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2"/>
    <w:basedOn w:val="72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1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2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3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5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6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1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2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3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4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5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6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1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2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3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4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5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6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5">
    <w:name w:val="footnote text"/>
    <w:basedOn w:val="712"/>
    <w:link w:val="886"/>
    <w:uiPriority w:val="99"/>
    <w:semiHidden/>
    <w:unhideWhenUsed/>
    <w:pPr>
      <w:pBdr/>
      <w:spacing w:after="40"/>
      <w:ind/>
    </w:pPr>
    <w:rPr>
      <w:sz w:val="18"/>
    </w:rPr>
  </w:style>
  <w:style w:type="character" w:styleId="886" w:customStyle="1">
    <w:name w:val="Текст виноски Знак"/>
    <w:link w:val="885"/>
    <w:uiPriority w:val="99"/>
    <w:pPr>
      <w:pBdr/>
      <w:spacing/>
      <w:ind/>
    </w:pPr>
    <w:rPr>
      <w:sz w:val="18"/>
    </w:rPr>
  </w:style>
  <w:style w:type="character" w:styleId="887">
    <w:name w:val="footnote reference"/>
    <w:basedOn w:val="722"/>
    <w:uiPriority w:val="99"/>
    <w:unhideWhenUsed/>
    <w:pPr>
      <w:pBdr/>
      <w:spacing/>
      <w:ind/>
    </w:pPr>
    <w:rPr>
      <w:vertAlign w:val="superscript"/>
    </w:rPr>
  </w:style>
  <w:style w:type="paragraph" w:styleId="888">
    <w:name w:val="endnote text"/>
    <w:basedOn w:val="712"/>
    <w:link w:val="889"/>
    <w:uiPriority w:val="99"/>
    <w:semiHidden/>
    <w:unhideWhenUsed/>
    <w:pPr>
      <w:pBdr/>
      <w:spacing/>
      <w:ind/>
    </w:pPr>
    <w:rPr>
      <w:sz w:val="20"/>
    </w:rPr>
  </w:style>
  <w:style w:type="character" w:styleId="889" w:customStyle="1">
    <w:name w:val="Текст кінцевої виноски Знак"/>
    <w:link w:val="888"/>
    <w:uiPriority w:val="99"/>
    <w:pPr>
      <w:pBdr/>
      <w:spacing/>
      <w:ind/>
    </w:pPr>
    <w:rPr>
      <w:sz w:val="20"/>
    </w:rPr>
  </w:style>
  <w:style w:type="character" w:styleId="890">
    <w:name w:val="endnote reference"/>
    <w:basedOn w:val="722"/>
    <w:uiPriority w:val="99"/>
    <w:semiHidden/>
    <w:unhideWhenUsed/>
    <w:pPr>
      <w:pBdr/>
      <w:spacing/>
      <w:ind/>
    </w:pPr>
    <w:rPr>
      <w:vertAlign w:val="superscript"/>
    </w:rPr>
  </w:style>
  <w:style w:type="paragraph" w:styleId="891">
    <w:name w:val="toc 1"/>
    <w:basedOn w:val="712"/>
    <w:next w:val="712"/>
    <w:uiPriority w:val="39"/>
    <w:unhideWhenUsed/>
    <w:pPr>
      <w:pBdr/>
      <w:spacing w:after="57"/>
      <w:ind w:firstLine="0"/>
    </w:pPr>
  </w:style>
  <w:style w:type="paragraph" w:styleId="892">
    <w:name w:val="toc 2"/>
    <w:basedOn w:val="712"/>
    <w:next w:val="712"/>
    <w:uiPriority w:val="39"/>
    <w:unhideWhenUsed/>
    <w:pPr>
      <w:pBdr/>
      <w:spacing w:after="57"/>
      <w:ind w:firstLine="0" w:left="283"/>
    </w:pPr>
  </w:style>
  <w:style w:type="paragraph" w:styleId="893">
    <w:name w:val="toc 3"/>
    <w:basedOn w:val="712"/>
    <w:next w:val="712"/>
    <w:uiPriority w:val="39"/>
    <w:unhideWhenUsed/>
    <w:pPr>
      <w:pBdr/>
      <w:spacing w:after="57"/>
      <w:ind w:firstLine="0" w:left="567"/>
    </w:pPr>
  </w:style>
  <w:style w:type="paragraph" w:styleId="894">
    <w:name w:val="toc 4"/>
    <w:basedOn w:val="712"/>
    <w:next w:val="712"/>
    <w:uiPriority w:val="39"/>
    <w:unhideWhenUsed/>
    <w:pPr>
      <w:pBdr/>
      <w:spacing w:after="57"/>
      <w:ind w:firstLine="0" w:left="850"/>
    </w:pPr>
  </w:style>
  <w:style w:type="paragraph" w:styleId="895">
    <w:name w:val="toc 5"/>
    <w:basedOn w:val="712"/>
    <w:next w:val="712"/>
    <w:uiPriority w:val="39"/>
    <w:unhideWhenUsed/>
    <w:pPr>
      <w:pBdr/>
      <w:spacing w:after="57"/>
      <w:ind w:firstLine="0" w:left="1134"/>
    </w:pPr>
  </w:style>
  <w:style w:type="paragraph" w:styleId="896">
    <w:name w:val="toc 6"/>
    <w:basedOn w:val="712"/>
    <w:next w:val="712"/>
    <w:uiPriority w:val="39"/>
    <w:unhideWhenUsed/>
    <w:pPr>
      <w:pBdr/>
      <w:spacing w:after="57"/>
      <w:ind w:firstLine="0" w:left="1417"/>
    </w:pPr>
  </w:style>
  <w:style w:type="paragraph" w:styleId="897">
    <w:name w:val="toc 7"/>
    <w:basedOn w:val="712"/>
    <w:next w:val="712"/>
    <w:uiPriority w:val="39"/>
    <w:unhideWhenUsed/>
    <w:pPr>
      <w:pBdr/>
      <w:spacing w:after="57"/>
      <w:ind w:firstLine="0" w:left="1701"/>
    </w:pPr>
  </w:style>
  <w:style w:type="paragraph" w:styleId="898">
    <w:name w:val="toc 8"/>
    <w:basedOn w:val="712"/>
    <w:next w:val="712"/>
    <w:uiPriority w:val="39"/>
    <w:unhideWhenUsed/>
    <w:pPr>
      <w:pBdr/>
      <w:spacing w:after="57"/>
      <w:ind w:firstLine="0" w:left="1984"/>
    </w:pPr>
  </w:style>
  <w:style w:type="paragraph" w:styleId="899">
    <w:name w:val="toc 9"/>
    <w:basedOn w:val="712"/>
    <w:next w:val="712"/>
    <w:uiPriority w:val="39"/>
    <w:unhideWhenUsed/>
    <w:pPr>
      <w:pBdr/>
      <w:spacing w:after="57"/>
      <w:ind w:firstLine="0" w:left="2268"/>
    </w:pPr>
  </w:style>
  <w:style w:type="paragraph" w:styleId="900">
    <w:name w:val="TOC Heading"/>
    <w:uiPriority w:val="39"/>
    <w:unhideWhenUsed/>
    <w:pPr>
      <w:pBdr/>
      <w:spacing/>
      <w:ind/>
    </w:pPr>
  </w:style>
  <w:style w:type="paragraph" w:styleId="901">
    <w:name w:val="table of figures"/>
    <w:basedOn w:val="712"/>
    <w:next w:val="712"/>
    <w:uiPriority w:val="99"/>
    <w:unhideWhenUsed/>
    <w:pPr>
      <w:pBdr/>
      <w:spacing/>
      <w:ind/>
    </w:pPr>
  </w:style>
  <w:style w:type="paragraph" w:styleId="902" w:customStyle="1">
    <w:name w:val="docdata"/>
    <w:basedOn w:val="712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after="100" w:afterAutospacing="1" w:before="100" w:beforeAutospacing="1"/>
      <w:ind w:firstLine="0"/>
      <w:jc w:val="left"/>
    </w:pPr>
    <w:rPr>
      <w:color w:val="auto"/>
      <w:sz w:val="24"/>
      <w:szCs w:val="24"/>
      <w:lang w:eastAsia="uk-UA"/>
    </w:rPr>
  </w:style>
  <w:style w:type="paragraph" w:styleId="903">
    <w:name w:val="Normal (Web)"/>
    <w:basedOn w:val="712"/>
    <w:uiPriority w:val="99"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after="100" w:afterAutospacing="1" w:before="100" w:beforeAutospacing="1"/>
      <w:ind w:firstLine="0"/>
      <w:jc w:val="left"/>
    </w:pPr>
    <w:rPr>
      <w:color w:val="auto"/>
      <w:sz w:val="24"/>
      <w:szCs w:val="24"/>
      <w:lang w:eastAsia="uk-UA"/>
    </w:rPr>
  </w:style>
  <w:style w:type="paragraph" w:styleId="904" w:customStyle="1">
    <w:name w:val="Звичайний1"/>
    <w:pPr>
      <w:pBdr/>
      <w:spacing/>
      <w:ind/>
    </w:pPr>
    <w:rPr>
      <w:rFonts w:ascii="Calibri" w:hAnsi="Calibri" w:eastAsia="Calibri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33</cp:revision>
  <dcterms:created xsi:type="dcterms:W3CDTF">2025-02-11T07:37:00Z</dcterms:created>
  <dcterms:modified xsi:type="dcterms:W3CDTF">2026-08-21T10:27:17Z</dcterms:modified>
</cp:coreProperties>
</file>