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3"/>
        <w:pBdr/>
        <w:tabs>
          <w:tab w:val="left" w:leader="none" w:pos="7088"/>
        </w:tabs>
        <w:spacing w:after="0" w:afterAutospacing="0" w:before="0" w:beforeAutospacing="0"/>
        <w:ind w:left="5387"/>
        <w:rPr/>
      </w:pPr>
      <w:r>
        <w:rPr>
          <w:color w:val="000000"/>
          <w:sz w:val="28"/>
          <w:szCs w:val="28"/>
        </w:rPr>
        <w:t xml:space="preserve">Затверджено</w:t>
      </w:r>
      <w:r/>
    </w:p>
    <w:p>
      <w:pPr>
        <w:pStyle w:val="704"/>
        <w:pBdr/>
        <w:tabs>
          <w:tab w:val="left" w:leader="none" w:pos="7088"/>
        </w:tabs>
        <w:spacing w:after="0" w:afterAutospacing="0" w:before="0" w:beforeAutospacing="0"/>
        <w:ind w:left="5387"/>
        <w:rPr/>
      </w:pPr>
      <w:r>
        <w:rPr>
          <w:color w:val="000000"/>
          <w:sz w:val="28"/>
          <w:szCs w:val="28"/>
        </w:rPr>
        <w:t xml:space="preserve">розпорядженням міського голови</w:t>
      </w:r>
      <w:r/>
    </w:p>
    <w:p>
      <w:pPr>
        <w:pStyle w:val="704"/>
        <w:pBdr/>
        <w:tabs>
          <w:tab w:val="left" w:leader="none" w:pos="7088"/>
        </w:tabs>
        <w:spacing w:after="0" w:afterAutospacing="0" w:before="0" w:beforeAutospacing="0"/>
        <w:ind w:left="5387"/>
        <w:rPr/>
      </w:pPr>
      <w:r>
        <w:rPr>
          <w:color w:val="000000"/>
          <w:sz w:val="28"/>
          <w:szCs w:val="28"/>
        </w:rPr>
        <w:t xml:space="preserve">18 серпня 2026 року № 247</w:t>
      </w:r>
      <w:r/>
    </w:p>
    <w:p>
      <w:pPr>
        <w:pStyle w:val="704"/>
        <w:pBdr/>
        <w:tabs>
          <w:tab w:val="left" w:leader="none" w:pos="7088"/>
        </w:tabs>
        <w:spacing w:after="0" w:afterAutospacing="0" w:before="0" w:beforeAutospacing="0"/>
        <w:ind/>
        <w:rPr/>
      </w:pPr>
      <w:r>
        <w:t xml:space="preserve">  </w:t>
      </w:r>
      <w:r/>
    </w:p>
    <w:p>
      <w:pPr>
        <w:pStyle w:val="704"/>
        <w:pBdr/>
        <w:tabs>
          <w:tab w:val="left" w:leader="none" w:pos="7088"/>
        </w:tabs>
        <w:spacing w:after="0" w:afterAutospacing="0" w:before="0" w:beforeAutospacing="0"/>
        <w:ind/>
        <w:rPr/>
      </w:pPr>
      <w:r>
        <w:t xml:space="preserve"> </w:t>
      </w:r>
      <w:r/>
    </w:p>
    <w:p>
      <w:pPr>
        <w:pStyle w:val="704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Посадова інструкція </w:t>
      </w:r>
      <w:r/>
    </w:p>
    <w:p>
      <w:pPr>
        <w:pStyle w:val="704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відповідального за ведення персонально-первинного військового обліку призовників, військовозобов’язаних та резервістів </w:t>
      </w:r>
      <w:r/>
    </w:p>
    <w:p>
      <w:pPr>
        <w:pStyle w:val="704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в населених пунктах ________________________________________________ </w:t>
      </w:r>
      <w:r>
        <w:rPr>
          <w:b/>
          <w:bCs/>
          <w:color w:val="000000"/>
          <w:sz w:val="28"/>
          <w:szCs w:val="28"/>
        </w:rPr>
        <w:t xml:space="preserve">старостинського</w:t>
      </w:r>
      <w:r>
        <w:rPr>
          <w:b/>
          <w:bCs/>
          <w:color w:val="000000"/>
          <w:sz w:val="28"/>
          <w:szCs w:val="28"/>
        </w:rPr>
        <w:t xml:space="preserve"> округу Менської міської територіальної громади </w:t>
      </w:r>
      <w:r/>
    </w:p>
    <w:p>
      <w:pPr>
        <w:pStyle w:val="704"/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старости ____________________________________ </w:t>
      </w:r>
      <w:r>
        <w:rPr>
          <w:b/>
          <w:bCs/>
          <w:color w:val="000000"/>
          <w:sz w:val="28"/>
          <w:szCs w:val="28"/>
        </w:rPr>
        <w:t xml:space="preserve">старостинського</w:t>
      </w:r>
      <w:r>
        <w:rPr>
          <w:b/>
          <w:bCs/>
          <w:color w:val="000000"/>
          <w:sz w:val="28"/>
          <w:szCs w:val="28"/>
        </w:rPr>
        <w:t xml:space="preserve"> округу</w:t>
      </w:r>
      <w:r/>
    </w:p>
    <w:p>
      <w:pPr>
        <w:pStyle w:val="704"/>
        <w:pBdr/>
        <w:tabs>
          <w:tab w:val="left" w:leader="none" w:pos="7088"/>
        </w:tabs>
        <w:spacing w:after="0" w:afterAutospacing="0" w:before="0" w:beforeAutospacing="0"/>
        <w:ind/>
        <w:rPr/>
      </w:pPr>
      <w:r>
        <w:t xml:space="preserve"> </w:t>
      </w:r>
      <w:r/>
    </w:p>
    <w:p>
      <w:pPr>
        <w:pStyle w:val="704"/>
        <w:pBdr/>
        <w:tabs>
          <w:tab w:val="left" w:leader="none" w:pos="7088"/>
        </w:tabs>
        <w:spacing w:after="0" w:afterAutospacing="0" w:before="0" w:beforeAutospacing="0"/>
        <w:ind/>
        <w:rPr/>
      </w:pPr>
      <w:r>
        <w:t xml:space="preserve"> </w:t>
      </w:r>
      <w:r/>
    </w:p>
    <w:p>
      <w:pPr>
        <w:pStyle w:val="704"/>
        <w:pBdr/>
        <w:tabs>
          <w:tab w:val="left" w:leader="none" w:pos="7088"/>
        </w:tabs>
        <w:spacing w:after="0" w:afterAutospacing="0" w:before="0" w:beforeAutospacing="0"/>
        <w:ind/>
        <w:rPr/>
      </w:pPr>
      <w:r>
        <w:t xml:space="preserve"> </w:t>
      </w:r>
      <w:r/>
    </w:p>
    <w:p>
      <w:pPr>
        <w:pStyle w:val="704"/>
        <w:numPr>
          <w:ilvl w:val="0"/>
          <w:numId w:val="1"/>
        </w:numPr>
        <w:pBdr/>
        <w:tabs>
          <w:tab w:val="left" w:leader="none" w:pos="0"/>
        </w:tabs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Загальні положення</w:t>
      </w:r>
      <w:r/>
    </w:p>
    <w:p>
      <w:pPr>
        <w:pStyle w:val="704"/>
        <w:pBdr/>
        <w:tabs>
          <w:tab w:val="left" w:leader="none" w:pos="0"/>
        </w:tabs>
        <w:spacing w:after="0" w:afterAutospacing="0" w:before="0" w:beforeAutospacing="0"/>
        <w:ind/>
        <w:rPr/>
      </w:pPr>
      <w:r>
        <w:t xml:space="preserve"> 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1.1. Відповідальний за ведення персонально-первинного військового обліку призовників, військовозобов’язаних та резервістів в населених пунктах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 Менської міської територіальної громади (</w:t>
      </w:r>
      <w:r>
        <w:rPr>
          <w:i/>
          <w:iCs/>
          <w:color w:val="000000"/>
          <w:sz w:val="28"/>
          <w:szCs w:val="28"/>
        </w:rPr>
        <w:t xml:space="preserve">далі</w:t>
      </w:r>
      <w:r>
        <w:rPr>
          <w:color w:val="000000"/>
          <w:sz w:val="28"/>
          <w:szCs w:val="28"/>
        </w:rPr>
        <w:t xml:space="preserve"> — Відповідальний за ВВО) визначається  розпорядженням міського голови. 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1.2. Відповідальним за ведення персонально-первинного військового обліку призовників, військовозобов’язаних та резервістів в населених пунктах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 Менської міської територіальної громади є староста даного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 або посадова особа, на яку покладено виконання обов’язків старости. 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1.3. Відповідальний за ВВО повинен знати: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— правила документообігу і технологію опрацювання облікової інформації; 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— нормативно-правові акти щодо організації та ведення військової обліку призовників, військовозобов’язаних та резервістів, в </w:t>
      </w:r>
      <w:r>
        <w:rPr>
          <w:color w:val="000000"/>
          <w:sz w:val="28"/>
          <w:szCs w:val="28"/>
        </w:rPr>
        <w:t xml:space="preserve">т.ч</w:t>
      </w:r>
      <w:r>
        <w:rPr>
          <w:color w:val="000000"/>
          <w:sz w:val="28"/>
          <w:szCs w:val="28"/>
        </w:rPr>
        <w:t xml:space="preserve">. Порядок</w:t>
      </w:r>
      <w:r>
        <w:rPr>
          <w:color w:val="000000"/>
          <w:sz w:val="28"/>
          <w:szCs w:val="28"/>
          <w:shd w:val="clear" w:color="auto" w:fill="ffffff"/>
        </w:rPr>
        <w:t xml:space="preserve"> організації та ведення військового обліку призовників, військовозобов’язаних та резервістів, затверджений постановою Кабінету Міністрів України від  30 грудня 2022 року № 1487 (далі – Порядок)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— наявність військовозобов’язаних за їх складом на території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округу.</w:t>
      </w:r>
      <w:r/>
    </w:p>
    <w:p>
      <w:pPr>
        <w:pStyle w:val="704"/>
        <w:pBdr/>
        <w:spacing w:after="0" w:afterAutospacing="0" w:before="0" w:beforeAutospacing="0"/>
        <w:ind w:firstLine="709"/>
        <w:jc w:val="center"/>
        <w:rPr/>
      </w:pPr>
      <w:r>
        <w:t xml:space="preserve"> </w:t>
      </w:r>
      <w:r/>
    </w:p>
    <w:p>
      <w:pPr>
        <w:pStyle w:val="704"/>
        <w:numPr>
          <w:ilvl w:val="0"/>
          <w:numId w:val="2"/>
        </w:numPr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Завдання та обов’язки</w:t>
      </w:r>
      <w:r/>
    </w:p>
    <w:p>
      <w:pPr>
        <w:pStyle w:val="704"/>
        <w:pBdr/>
        <w:spacing w:after="0" w:afterAutospacing="0" w:before="0" w:beforeAutospacing="0"/>
        <w:ind/>
        <w:rPr/>
      </w:pPr>
      <w:r>
        <w:t xml:space="preserve"> 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2.1. З метою забезпечення персонально-первинного військового обліку призовників, військовозобов’язаних та резервістів відповідальний за ВВО здійснює:    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1) взяття на персонально-первинний військовий облік громадян, які прибули на нове місце проживання до населеного пункту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округу, тільки після взяття їх на військовий облік у Першому відділі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2) виключення з персонально-п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ервинного військового обліку громадян під час їх вибуття в іншу адміністративно-територіальну одиницю до нового місця проживання тільки після зняття таких громадян з військового обліку у Першому відділі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3) виявлення призовників, військовозобов’язаних та резервістів, які проживають на території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округу, і не перебувають в них на персонально-первинному військовому обліку, направлення таких громадян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для взяття на військовий облік, взяття призовників, військовозобов’язаних та резервістів на персонально-первинний військовий облік;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4) ведення </w:t>
      </w:r>
      <w:hyperlink w:tooltip="https://zakon.rada.gov.ua/laws/show/1487-2022-%D0%BF#n378" w:anchor="n378" w:history="1">
        <w:r>
          <w:rPr>
            <w:rStyle w:val="705"/>
            <w:color w:val="000000"/>
            <w:sz w:val="28"/>
            <w:szCs w:val="28"/>
          </w:rPr>
          <w:t xml:space="preserve">карток первинного обліку призовників, військовозобов’язаних та резервістів</w:t>
        </w:r>
      </w:hyperlink>
      <w:r>
        <w:rPr>
          <w:color w:val="000000"/>
          <w:sz w:val="28"/>
          <w:szCs w:val="28"/>
        </w:rPr>
        <w:t xml:space="preserve">, які проживають на території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5) проведення відповідної роз’яснювальної роботи серед призовників, військовозобов’язаних та резервістів щодо виконання ними правил військового обліку;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6) інформування у семиденний строк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</w:t>
      </w:r>
      <w:r>
        <w:rPr>
          <w:color w:val="000000"/>
          <w:sz w:val="28"/>
          <w:szCs w:val="28"/>
        </w:rPr>
        <w:t xml:space="preserve"> про призовників, військовозобов’язаних та резервістів, які прибули для проживання з адміністративно-територіальних одиниць, що обслуговуються іншими виконавчими органами сільських, селищних, міських рад, за задекларованим/зареєстрованим місцем проживання;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7) оповіщення на вимогу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призовників, військовозобов’язаних та резервістів про їх виклик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і забезпечення їх своєчасного прибуття;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8) взаємодію з Першим відділом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щодо здійснення спільни</w:t>
      </w:r>
      <w:r>
        <w:rPr>
          <w:color w:val="000000"/>
          <w:sz w:val="28"/>
          <w:szCs w:val="28"/>
        </w:rPr>
        <w:t xml:space="preserve">х заходів в галузі оборонної роботи, строків та способів звіряння даних карток первинного обліку призовників, військовозобов’язаних та резервістів, внесення відповідних змін до них, а також щодо оповіщення призовників, військовозобов’язаних та резервістів;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9) подання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на їх вимогу відомостей щодо призовників, військовозобов’язаних та резервістів, військовий облік яких вони ведуть;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10) внесення у п’ятиденний строк з дня подання відповідних документів змін до карток первинного обліку призовників щодо їх прізвища, власного </w:t>
      </w:r>
      <w:r>
        <w:rPr>
          <w:color w:val="000000"/>
          <w:sz w:val="28"/>
          <w:szCs w:val="28"/>
        </w:rPr>
        <w:t xml:space="preserve">імені та по батькові (за наявності), реквізитів паспорта громадянина України, адреси задекларованого/зареєстрованого місця проживання, сімейного стану, освіти, місця роботи і посади та надсилання щомісяця до 5 числа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</w:t>
      </w:r>
      <w:hyperlink w:tooltip="https://zakon.rada.gov.ua/laws/show/1487-2022-%D0%BF#n380" w:anchor="n380" w:history="1">
        <w:r>
          <w:rPr>
            <w:rStyle w:val="705"/>
            <w:color w:val="000000"/>
            <w:sz w:val="28"/>
            <w:szCs w:val="28"/>
          </w:rPr>
          <w:t xml:space="preserve">повідомлень про зміну облікових даних</w:t>
        </w:r>
      </w:hyperlink>
      <w:r>
        <w:rPr>
          <w:color w:val="000000"/>
          <w:sz w:val="28"/>
          <w:szCs w:val="28"/>
        </w:rPr>
        <w:t xml:space="preserve">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11) звіряння не рідше одного разу на рік облікових даних карток первинного обліку призовників, військовозобов’язаних та резервістів, які перебувають на персонально-первинному військовому обліку у відповідному </w:t>
      </w:r>
      <w:r>
        <w:rPr>
          <w:color w:val="000000"/>
          <w:sz w:val="28"/>
          <w:szCs w:val="28"/>
        </w:rPr>
        <w:t xml:space="preserve">старостинському</w:t>
      </w:r>
      <w:r>
        <w:rPr>
          <w:color w:val="000000"/>
          <w:sz w:val="28"/>
          <w:szCs w:val="28"/>
        </w:rPr>
        <w:t xml:space="preserve"> окрузі: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з обліковими даними, що містяться у </w:t>
      </w:r>
      <w:hyperlink w:tooltip="https://zakon.rada.gov.ua/laws/show/1487-2022-%D0%BF#n382" w:anchor="n382" w:history="1">
        <w:r>
          <w:rPr>
            <w:rStyle w:val="705"/>
            <w:color w:val="000000"/>
            <w:sz w:val="28"/>
            <w:szCs w:val="28"/>
          </w:rPr>
          <w:t xml:space="preserve">списках персонального військового обліку призовників, військовозобов’язаних та резервістів</w:t>
        </w:r>
      </w:hyperlink>
      <w:r>
        <w:rPr>
          <w:color w:val="000000"/>
          <w:sz w:val="28"/>
          <w:szCs w:val="28"/>
        </w:rPr>
        <w:t xml:space="preserve"> підприємств, установ та організацій, в яких вони працюють (навчаються), що перебувають на території </w:t>
      </w:r>
      <w:r>
        <w:rPr>
          <w:color w:val="000000"/>
          <w:sz w:val="28"/>
          <w:szCs w:val="28"/>
        </w:rPr>
        <w:t xml:space="preserve">ввідповідного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  <w:shd w:val="clear" w:color="auto" w:fill="ffffff"/>
        </w:rPr>
        <w:t xml:space="preserve">з документами щодо реєстрації місця проживання фізичних осіб або з відображенням в електронній формі інформації, що міститься в таких документах, які можуть пред’являтися (надаватися) з використанням мобільного додатка Порталу Дія;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з місцем фактичного проживання призовників, військовозобов’язаних та резервістів;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12) звіряння не рідше одного разу на рік облікових даних карток первинного обліку призовників, які перебувають на персонально-первинному військовому обліку у відповідному </w:t>
      </w:r>
      <w:r>
        <w:rPr>
          <w:color w:val="000000"/>
          <w:sz w:val="28"/>
          <w:szCs w:val="28"/>
        </w:rPr>
        <w:t xml:space="preserve">старостинському</w:t>
      </w:r>
      <w:r>
        <w:rPr>
          <w:color w:val="000000"/>
          <w:sz w:val="28"/>
          <w:szCs w:val="28"/>
        </w:rPr>
        <w:t xml:space="preserve"> окрузі, з обліковими даними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(</w:t>
      </w:r>
      <w:r>
        <w:rPr>
          <w:color w:val="333333"/>
          <w:sz w:val="28"/>
          <w:szCs w:val="28"/>
          <w:shd w:val="clear" w:color="auto" w:fill="ffffff"/>
        </w:rPr>
        <w:t xml:space="preserve">звіряння облікових даних карток первинного обліку призовників здійснюється після взяття на військовий облік і перед направленням для проходження базової військової служби, а також в інші строки,</w:t>
      </w:r>
      <w:r>
        <w:rPr>
          <w:color w:val="000000"/>
          <w:sz w:val="28"/>
          <w:szCs w:val="28"/>
        </w:rPr>
        <w:t xml:space="preserve"> визначені Першим відділом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підтримки);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13) приймання від призовників, військовозобов’язаних та резервістів під розписку у бланках </w:t>
      </w:r>
      <w:hyperlink w:tooltip="https://zakon.rada.gov.ua/laws/show/1487-2022-%D0%BF#n451" w:anchor="n451" w:history="1">
        <w:r>
          <w:rPr>
            <w:rStyle w:val="705"/>
            <w:color w:val="000000"/>
            <w:sz w:val="28"/>
            <w:szCs w:val="28"/>
          </w:rPr>
          <w:t xml:space="preserve">розписок</w:t>
        </w:r>
      </w:hyperlink>
      <w:r>
        <w:rPr>
          <w:color w:val="000000"/>
          <w:sz w:val="28"/>
          <w:szCs w:val="28"/>
        </w:rPr>
        <w:t xml:space="preserve">  їх військово-облікових документів для звіряння з картками первинного обліку;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14) постійний контроль за виконанням посадовими особами підприємств, установ та організацій, які розташовані на території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округу, вимог Порядку, а призовниками, військовозобов’язаними та резервістами - правил військового обліку;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15) інформування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</w:t>
      </w:r>
      <w:r>
        <w:rPr>
          <w:color w:val="000000"/>
          <w:sz w:val="28"/>
          <w:szCs w:val="28"/>
        </w:rPr>
        <w:t xml:space="preserve">ентру комплектування та соціальної підтримки про посадових осіб підприємств, установ та організацій, які порушують вимоги Порядку, а також про громадян, які порушують правила військового обліку, для притягнення винних до відповідальності згідно із законом;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16) інформування щомісяця до 5 числа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про державну реєстрацію утворення, припинення підприємств, установ та </w:t>
      </w:r>
      <w:r>
        <w:rPr>
          <w:color w:val="000000"/>
          <w:sz w:val="28"/>
          <w:szCs w:val="28"/>
        </w:rPr>
        <w:t xml:space="preserve">організацій, які розташовані на території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17) ведення та зберігання </w:t>
      </w:r>
      <w:hyperlink w:tooltip="https://zakon.rada.gov.ua/laws/show/1487-2022-%D0%BF#n459" w:anchor="n459" w:history="1">
        <w:r>
          <w:rPr>
            <w:rStyle w:val="705"/>
            <w:color w:val="000000"/>
            <w:sz w:val="28"/>
            <w:szCs w:val="28"/>
          </w:rPr>
          <w:t xml:space="preserve">журналу обліку результатів перевірки стану військового обліку, звіряння їх облікових даних з даними Першого відділу </w:t>
        </w:r>
        <w:r>
          <w:rPr>
            <w:rStyle w:val="705"/>
            <w:color w:val="000000"/>
            <w:sz w:val="28"/>
            <w:szCs w:val="28"/>
          </w:rPr>
          <w:t xml:space="preserve">Корюківського</w:t>
        </w:r>
        <w:r>
          <w:rPr>
            <w:rStyle w:val="705"/>
            <w:color w:val="000000"/>
            <w:sz w:val="28"/>
            <w:szCs w:val="28"/>
          </w:rPr>
          <w:t xml:space="preserve"> районного територіального центру комплектування та соціальної підтримки. </w:t>
        </w:r>
      </w:hyperlink>
      <w:r/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2.2. Під час взяття призовників, військовозобов’язаних та резервістів на персонально-первинний військовий облік відповідальний за ВВО: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1) перевіряє дійсність та належність військово-облікових документів призовників, військовозобов’язаних та резервістів їх власникам, наявність відміток про взяття на військовий облік у Першому відділі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та своєчасність їх прибуття до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округу, доводить під особистий підпис призовників, військовозобов’язаних та резервістів правила військового обліку та інформацію про відповідальність за невиконання цих правил;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2) проводять оформлення картки первинного обліку.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У разі виявлення у військово-облікових документах призовників, військовозобов’язаних та резервістів розбіжностей, помилок або підробок відповідальний за ВВО повідомляє про це Першому відділі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2.3. Відповідальний за ВВО щомісяця до 5 числа надсилає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повідомлення про зміну облікових даних призовників, військовозобов’язаних та резервістів, які змінили місце проживання в межах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округу, а також військовозобов’язаних та резервістів, що прибули з мобілізаційними розпорядженнями.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708"/>
        <w:jc w:val="both"/>
        <w:rPr/>
      </w:pPr>
      <w:r>
        <w:rPr>
          <w:color w:val="000000"/>
          <w:sz w:val="28"/>
          <w:szCs w:val="28"/>
        </w:rPr>
        <w:t xml:space="preserve">За рішенням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здійснюється вилучення у військовозобов’язаного та резервіста мобілізаційного розпорядження.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708"/>
        <w:jc w:val="both"/>
        <w:rPr/>
      </w:pPr>
      <w:r>
        <w:rPr>
          <w:color w:val="000000"/>
          <w:sz w:val="28"/>
          <w:szCs w:val="28"/>
        </w:rPr>
        <w:t xml:space="preserve">Вилучені мобілізаційні розпорядження разом з військово-обліковими документами військовозобов’язаних та резервістів щомісяця до 5 числа надсилаються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разом із повідомленням про зміну облікових даних.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2.4. Звіряння облікових даних карток первинного обліку у випадках, передбачених Порядком, здійснюється шляхом подвірного обходу відповідно до графіка звіряння, затвердженого розпорядженням міського голови.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708"/>
        <w:jc w:val="both"/>
        <w:rPr/>
      </w:pPr>
      <w:r>
        <w:rPr>
          <w:color w:val="000000"/>
          <w:sz w:val="28"/>
          <w:szCs w:val="28"/>
        </w:rPr>
        <w:t xml:space="preserve">Під час звіряння перевіряються наявність та стан військово-облікових документів призовників, військовозобов’язаних та резервістів.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708"/>
        <w:jc w:val="both"/>
        <w:rPr/>
      </w:pPr>
      <w:r>
        <w:rPr>
          <w:color w:val="000000"/>
          <w:sz w:val="28"/>
          <w:szCs w:val="28"/>
        </w:rPr>
        <w:t xml:space="preserve">Відповідальний за ВВО вносить до карток первинного обліку зміни облікових даних, які виявлені під час звіряння, та надсилає щомісяця до 5 числа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</w:t>
      </w:r>
      <w:r>
        <w:rPr>
          <w:color w:val="000000"/>
          <w:sz w:val="28"/>
          <w:szCs w:val="28"/>
        </w:rPr>
        <w:t xml:space="preserve">комплектування та соціальної підтримки повідомлення про зміни облікових даних.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708"/>
        <w:jc w:val="both"/>
        <w:rPr/>
      </w:pPr>
      <w:r>
        <w:rPr>
          <w:color w:val="000000"/>
          <w:sz w:val="28"/>
          <w:szCs w:val="28"/>
        </w:rPr>
        <w:t xml:space="preserve">Результати звіряння облікових даних карток первинного обліку з обліковими даними списків персонального військового обліку, що ведеться на підприємствах, в установах та організаціях, вносяться до журналу обліку результатів перевірки.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2.5. Звіряння даних карток первинного обліку з обліковими даними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здійснюється відповідно до затвердженого графіку звіряння.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708"/>
        <w:jc w:val="both"/>
        <w:rPr/>
      </w:pPr>
      <w:r>
        <w:rPr>
          <w:color w:val="000000"/>
          <w:sz w:val="28"/>
          <w:szCs w:val="28"/>
        </w:rPr>
        <w:t xml:space="preserve">Відповідальний за ВВО, у визначені графіком звіряння строки прибуває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та проводить звіряння даних карток первинного обліку з обліковими документами призовників, військовозобов’язаних та резервістів, які зберігаються у Першому відділі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708"/>
        <w:jc w:val="both"/>
        <w:rPr/>
      </w:pPr>
      <w:r>
        <w:rPr>
          <w:color w:val="000000"/>
          <w:sz w:val="28"/>
          <w:szCs w:val="28"/>
        </w:rPr>
        <w:t xml:space="preserve">Результати звіряння вносяться до журналу обліку результатів перевірки. 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2.6. У разі отримання розпорядження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щодо оповіщення призовників, військовозобов’язаних та резервістів про їх явку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</w:t>
      </w:r>
      <w:r>
        <w:rPr>
          <w:color w:val="ff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(пунктів попереднього збору) для оформлення військово</w:t>
      </w:r>
      <w:r>
        <w:rPr>
          <w:color w:val="000000"/>
          <w:sz w:val="28"/>
          <w:szCs w:val="28"/>
        </w:rPr>
        <w:t xml:space="preserve">-облікових документів, проходження медичного огляду, приписки до призовної дільниці, взяття на військовий облік, визначення призначення на особливий період, призову на військову службу або на збори військовозобов’язаних (резервістів) відповідальний за ВВО: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- відбирає картки первинного обліку зазначених у розпорядженні призовників, військовозобов’язаних та резервістів;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color w:val="333333"/>
          <w:sz w:val="28"/>
          <w:szCs w:val="28"/>
          <w:shd w:val="clear" w:color="auto" w:fill="ffffff"/>
        </w:rPr>
        <w:t xml:space="preserve">здійснює оповіщення зазначених у розпорядженні призовників, військовозобов’я</w:t>
      </w:r>
      <w:r>
        <w:rPr>
          <w:color w:val="333333"/>
          <w:sz w:val="28"/>
          <w:szCs w:val="28"/>
          <w:shd w:val="clear" w:color="auto" w:fill="ffffff"/>
        </w:rPr>
        <w:t xml:space="preserve">заних та резервістів за місцем їх проживання (роботи, навчання) шляхом вручення повісток або під їх особистий підпис у картках первинного обліку та/або рекомендованим поштовим відправленням з описом вкладення та повідомленням про вручення про їх виклик до </w:t>
      </w:r>
      <w:r>
        <w:rPr>
          <w:color w:val="000000"/>
          <w:sz w:val="28"/>
          <w:szCs w:val="28"/>
        </w:rPr>
        <w:t xml:space="preserve">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</w:t>
      </w:r>
      <w:r>
        <w:rPr>
          <w:color w:val="333333"/>
          <w:sz w:val="28"/>
          <w:szCs w:val="28"/>
          <w:shd w:val="clear" w:color="auto" w:fill="ffffff"/>
        </w:rPr>
        <w:t xml:space="preserve"> для оформлення військово-облікових документів, взяття на військовий облік, проходження медичного огляду, направлення дл</w:t>
      </w:r>
      <w:r>
        <w:rPr>
          <w:color w:val="333333"/>
          <w:sz w:val="28"/>
          <w:szCs w:val="28"/>
          <w:shd w:val="clear" w:color="auto" w:fill="ffffff"/>
        </w:rPr>
        <w:t xml:space="preserve">я проходження базової військової служби, направлення на підготовку з метою здобуття або вдосконалення військово-облікової спеціальності, призову на військову службу або на збори військовозобов’язаних та резервістів і забезпечення їх своєчасного прибуття;  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- у триденний строк письмово повідомляє Перший відділ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 </w:t>
      </w:r>
      <w:r>
        <w:rPr>
          <w:color w:val="000000"/>
          <w:sz w:val="28"/>
          <w:szCs w:val="28"/>
        </w:rPr>
        <w:t xml:space="preserve">про результати оповіщення, виконання призовниками, військовозобов’язаними та резервістами вимог законодавства;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rPr>
          <w:color w:val="000000"/>
          <w:sz w:val="28"/>
          <w:szCs w:val="28"/>
        </w:rPr>
        <w:t xml:space="preserve">- забезпечує контроль за прибуттям призовників, військовозобов’язаних та резервістів до Першого відділу </w:t>
      </w:r>
      <w:r>
        <w:rPr>
          <w:color w:val="000000"/>
          <w:sz w:val="28"/>
          <w:szCs w:val="28"/>
        </w:rPr>
        <w:t xml:space="preserve">Корюківського</w:t>
      </w:r>
      <w:r>
        <w:rPr>
          <w:color w:val="000000"/>
          <w:sz w:val="28"/>
          <w:szCs w:val="28"/>
        </w:rPr>
        <w:t xml:space="preserve"> районного територіального центру комплектування та соціальної підтримки.</w:t>
      </w:r>
      <w:r/>
    </w:p>
    <w:p>
      <w:pPr>
        <w:pStyle w:val="704"/>
        <w:pBdr/>
        <w:shd w:val="clear" w:color="auto" w:fill="ffffff"/>
        <w:spacing w:after="0" w:afterAutospacing="0" w:before="0" w:beforeAutospacing="0"/>
        <w:ind w:firstLine="450"/>
        <w:jc w:val="both"/>
        <w:rPr/>
      </w:pPr>
      <w:r>
        <w:t xml:space="preserve"> </w:t>
      </w:r>
      <w:r/>
    </w:p>
    <w:p>
      <w:pPr>
        <w:pStyle w:val="704"/>
        <w:numPr>
          <w:ilvl w:val="0"/>
          <w:numId w:val="3"/>
        </w:numPr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Права</w:t>
      </w:r>
      <w:r/>
    </w:p>
    <w:p>
      <w:pPr>
        <w:pStyle w:val="704"/>
        <w:pBdr/>
        <w:spacing w:after="0" w:afterAutospacing="0" w:before="0" w:beforeAutospacing="0"/>
        <w:ind w:left="720"/>
        <w:rPr/>
      </w:pPr>
      <w:r>
        <w:t xml:space="preserve"> </w:t>
      </w:r>
      <w:r/>
    </w:p>
    <w:p>
      <w:pPr>
        <w:pStyle w:val="704"/>
        <w:pBdr/>
        <w:tabs>
          <w:tab w:val="left" w:leader="none" w:pos="3570"/>
        </w:tabs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3.1. Контролювати виконання військовозобов’язаними та призовниками правил військового обліку.</w:t>
      </w:r>
      <w:r/>
    </w:p>
    <w:p>
      <w:pPr>
        <w:pStyle w:val="704"/>
        <w:pBdr/>
        <w:tabs>
          <w:tab w:val="left" w:leader="none" w:pos="3570"/>
        </w:tabs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3.2. Проводити перевірки, збирати військово-облікові та інші необхідні для роботи документи у військовозобов’язаних і призовників.</w:t>
      </w:r>
      <w:r/>
    </w:p>
    <w:p>
      <w:pPr>
        <w:pStyle w:val="704"/>
        <w:pBdr/>
        <w:tabs>
          <w:tab w:val="left" w:leader="none" w:pos="3570"/>
        </w:tabs>
        <w:spacing w:after="0" w:afterAutospacing="0" w:before="0" w:beforeAutospacing="0"/>
        <w:ind w:firstLine="709"/>
        <w:jc w:val="both"/>
        <w:rPr/>
      </w:pPr>
      <w:r>
        <w:t xml:space="preserve"> </w:t>
      </w:r>
      <w:r/>
    </w:p>
    <w:p>
      <w:pPr>
        <w:pStyle w:val="704"/>
        <w:pBdr/>
        <w:tabs>
          <w:tab w:val="left" w:leader="none" w:pos="3570"/>
        </w:tabs>
        <w:spacing w:after="0" w:afterAutospacing="0" w:before="0" w:beforeAutospacing="0"/>
        <w:ind w:firstLine="709"/>
        <w:jc w:val="both"/>
        <w:rPr/>
      </w:pPr>
      <w:r>
        <w:t xml:space="preserve"> </w:t>
      </w:r>
      <w:r/>
    </w:p>
    <w:p>
      <w:pPr>
        <w:pStyle w:val="704"/>
        <w:pBdr/>
        <w:tabs>
          <w:tab w:val="left" w:leader="none" w:pos="3570"/>
        </w:tabs>
        <w:spacing w:after="0" w:afterAutospacing="0" w:before="0" w:beforeAutospacing="0"/>
        <w:ind w:firstLine="709"/>
        <w:jc w:val="both"/>
        <w:rPr/>
      </w:pPr>
      <w:r>
        <w:t xml:space="preserve"> </w:t>
      </w:r>
      <w:r/>
    </w:p>
    <w:p>
      <w:pPr>
        <w:pStyle w:val="704"/>
        <w:numPr>
          <w:ilvl w:val="0"/>
          <w:numId w:val="4"/>
        </w:numPr>
        <w:pBdr/>
        <w:tabs>
          <w:tab w:val="left" w:leader="none" w:pos="0"/>
        </w:tabs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Відповідальність</w:t>
      </w:r>
      <w:r/>
    </w:p>
    <w:p>
      <w:pPr>
        <w:pStyle w:val="704"/>
        <w:pBdr/>
        <w:tabs>
          <w:tab w:val="left" w:leader="none" w:pos="0"/>
        </w:tabs>
        <w:spacing w:after="0" w:afterAutospacing="0" w:before="0" w:beforeAutospacing="0"/>
        <w:ind w:left="720"/>
        <w:rPr/>
      </w:pPr>
      <w:r>
        <w:t xml:space="preserve"> 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4.1. Відповідальний за ВВО несе персональну відповідальність за  невиконання або неналежне виконання своїх посадових обов’язків згідно цієї інструкції в межах, визначених чинним законодавством України;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t xml:space="preserve"> </w:t>
      </w:r>
      <w:r/>
    </w:p>
    <w:p>
      <w:pPr>
        <w:pStyle w:val="704"/>
        <w:numPr>
          <w:ilvl w:val="0"/>
          <w:numId w:val="5"/>
        </w:numPr>
        <w:pBdr/>
        <w:spacing w:after="0" w:afterAutospacing="0" w:before="0" w:beforeAutospacing="0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Взаємовідносини (зв’язки) за посадою</w:t>
      </w:r>
      <w:r/>
    </w:p>
    <w:p>
      <w:pPr>
        <w:pStyle w:val="704"/>
        <w:pBdr/>
        <w:spacing w:after="0" w:afterAutospacing="0" w:before="0" w:beforeAutospacing="0"/>
        <w:ind w:left="720"/>
        <w:rPr/>
      </w:pPr>
      <w:r>
        <w:t xml:space="preserve"> </w:t>
      </w:r>
      <w:r/>
    </w:p>
    <w:p>
      <w:pPr>
        <w:pStyle w:val="704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5.1. Отримує від військовозобов’язаних та призовників, а також підприємств, установ, організацій, які розташовані на території відповідного </w:t>
      </w:r>
      <w:r>
        <w:rPr>
          <w:color w:val="000000"/>
          <w:sz w:val="28"/>
          <w:szCs w:val="28"/>
        </w:rPr>
        <w:t xml:space="preserve">старостинського</w:t>
      </w:r>
      <w:r>
        <w:rPr>
          <w:color w:val="000000"/>
          <w:sz w:val="28"/>
          <w:szCs w:val="28"/>
        </w:rPr>
        <w:t xml:space="preserve"> округу,  необхідні матеріали для виконання функціональних завдань та обов’язків.</w:t>
      </w:r>
      <w:r/>
    </w:p>
    <w:p>
      <w:pPr>
        <w:pStyle w:val="704"/>
        <w:pBdr/>
        <w:tabs>
          <w:tab w:val="left" w:leader="none" w:pos="6238"/>
        </w:tabs>
        <w:spacing w:after="0" w:afterAutospacing="0" w:before="0" w:beforeAutospacing="0"/>
        <w:ind w:firstLine="709"/>
        <w:jc w:val="both"/>
        <w:rPr/>
      </w:pPr>
      <w:r>
        <w:t xml:space="preserve"> </w:t>
      </w:r>
      <w:r/>
    </w:p>
    <w:p>
      <w:pPr>
        <w:pStyle w:val="704"/>
        <w:pBdr/>
        <w:tabs>
          <w:tab w:val="left" w:leader="none" w:pos="6238"/>
        </w:tabs>
        <w:spacing w:after="0" w:afterAutospacing="0" w:before="0" w:beforeAutospacing="0"/>
        <w:ind/>
        <w:jc w:val="both"/>
        <w:rPr/>
      </w:pPr>
      <w:r>
        <w:t xml:space="preserve"> </w:t>
      </w:r>
      <w:r/>
    </w:p>
    <w:p>
      <w:pPr>
        <w:pStyle w:val="704"/>
        <w:pBdr/>
        <w:tabs>
          <w:tab w:val="left" w:leader="none" w:pos="6238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З інструкцією ознайомлений</w:t>
      </w:r>
      <w:r/>
    </w:p>
    <w:p>
      <w:pPr>
        <w:pStyle w:val="704"/>
        <w:pBdr/>
        <w:tabs>
          <w:tab w:val="left" w:leader="none" w:pos="6238"/>
        </w:tabs>
        <w:spacing w:after="0" w:afterAutospacing="0" w:before="0" w:beforeAutospacing="0"/>
        <w:ind/>
        <w:jc w:val="both"/>
        <w:rPr/>
      </w:pPr>
      <w:r>
        <w:t xml:space="preserve"> </w:t>
      </w:r>
      <w:r/>
    </w:p>
    <w:p>
      <w:pPr>
        <w:pStyle w:val="704"/>
        <w:pBdr/>
        <w:tabs>
          <w:tab w:val="left" w:leader="none" w:pos="1985"/>
        </w:tabs>
        <w:spacing w:after="0" w:afterAutospacing="0" w:before="0" w:beforeAutospacing="0"/>
        <w:ind/>
        <w:jc w:val="both"/>
        <w:rPr/>
      </w:pPr>
      <w:r>
        <w:rPr>
          <w:i/>
          <w:iCs/>
          <w:color w:val="000000"/>
          <w:sz w:val="28"/>
          <w:szCs w:val="28"/>
        </w:rPr>
        <w:t xml:space="preserve">________________              _______________________________________</w:t>
      </w:r>
      <w:r/>
    </w:p>
    <w:p>
      <w:pPr>
        <w:pStyle w:val="704"/>
        <w:pBdr/>
        <w:spacing w:after="0" w:afterAutospacing="0" w:before="0" w:beforeAutospacing="0"/>
        <w:ind/>
        <w:jc w:val="both"/>
        <w:rPr/>
      </w:pPr>
      <w:r>
        <w:rPr>
          <w:color w:val="000000"/>
        </w:rPr>
        <w:t xml:space="preserve">            (підпис)                                                            (Ім’я, ПРІЗВИЩЕ)</w:t>
      </w:r>
      <w:r/>
    </w:p>
    <w:p>
      <w:pPr>
        <w:pStyle w:val="704"/>
        <w:pBdr/>
        <w:spacing w:after="0" w:afterAutospacing="0" w:before="0" w:beforeAutospacing="0"/>
        <w:ind/>
        <w:jc w:val="both"/>
        <w:rPr/>
      </w:pPr>
      <w:r>
        <w:t xml:space="preserve"> </w:t>
      </w:r>
      <w:r/>
    </w:p>
    <w:p>
      <w:pPr>
        <w:pStyle w:val="704"/>
        <w:pBdr/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«</w:t>
      </w:r>
      <w:r>
        <w:rPr>
          <w:i/>
          <w:iCs/>
          <w:color w:val="000000"/>
          <w:sz w:val="28"/>
          <w:szCs w:val="28"/>
        </w:rPr>
        <w:t xml:space="preserve">_____</w:t>
      </w:r>
      <w:r>
        <w:rPr>
          <w:color w:val="000000"/>
          <w:sz w:val="28"/>
          <w:szCs w:val="28"/>
        </w:rPr>
        <w:t xml:space="preserve">»______________ 2026 року</w:t>
      </w:r>
      <w:r/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8343404"/>
      <w:docPartObj>
        <w:docPartGallery w:val="Page Numbers (Top of Page)"/>
        <w:docPartUnique w:val="true"/>
      </w:docPartObj>
      <w:rPr/>
    </w:sdtPr>
    <w:sdtContent>
      <w:p>
        <w:pPr>
          <w:pStyle w:val="706"/>
          <w:pBdr/>
          <w:spacing/>
          <w:ind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eastAsia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eastAsia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eastAsia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6</w:t>
        </w:r>
        <w:r>
          <w:rPr>
            <w:rFonts w:ascii="Times New Roman" w:hAnsi="Times New Roman" w:eastAsia="Times New Roman" w:cs="Times New Roman"/>
            <w:sz w:val="24"/>
            <w:szCs w:val="24"/>
          </w:rPr>
          <w:fldChar w:fldCharType="end"/>
          <w:t xml:space="preserve">                                              продовження додатка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</w:p>
    </w:sdtContent>
  </w:sdt>
  <w:p>
    <w:pPr>
      <w:pStyle w:val="70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  <w:pBdr/>
      <w:spacing/>
      <w:ind w:right="0" w:firstLine="5386" w:left="0"/>
      <w:rPr>
        <w:rFonts w:ascii="Times New Roman" w:hAnsi="Times New Roman" w:eastAsia="Times New Roman" w:cs="Times New Roman"/>
        <w:sz w:val="24"/>
        <w:szCs w:val="24"/>
        <w:highlight w:val="none"/>
      </w:rPr>
    </w:pPr>
    <w:r>
      <w:rPr>
        <w:rFonts w:ascii="Times New Roman" w:hAnsi="Times New Roman" w:eastAsia="Times New Roman" w:cs="Times New Roman"/>
        <w:sz w:val="24"/>
        <w:szCs w:val="24"/>
      </w:rPr>
      <w:t xml:space="preserve">Додаток</w:t>
    </w:r>
    <w:r>
      <w:rPr>
        <w:rFonts w:ascii="Times New Roman" w:hAnsi="Times New Roman" w:eastAsia="Times New Roman" w:cs="Times New Roman"/>
        <w:sz w:val="24"/>
        <w:szCs w:val="24"/>
      </w:rPr>
    </w:r>
  </w:p>
  <w:p>
    <w:pPr>
      <w:pStyle w:val="706"/>
      <w:pBdr/>
      <w:spacing/>
      <w:ind w:right="0" w:firstLine="5386" w:left="0"/>
      <w:rPr>
        <w:rFonts w:ascii="Times New Roman" w:hAnsi="Times New Roman" w:eastAsia="Times New Roman" w:cs="Times New Roman"/>
        <w:sz w:val="24"/>
        <w:szCs w:val="24"/>
        <w:highlight w:val="none"/>
      </w:rPr>
    </w:pPr>
    <w:r>
      <w:rPr>
        <w:rFonts w:ascii="Times New Roman" w:hAnsi="Times New Roman" w:eastAsia="Times New Roman" w:cs="Times New Roman"/>
        <w:sz w:val="24"/>
        <w:szCs w:val="24"/>
        <w:highlight w:val="none"/>
      </w:rPr>
      <w:t xml:space="preserve">до розпорядження міського голови</w:t>
    </w:r>
    <w:r>
      <w:rPr>
        <w:rFonts w:ascii="Times New Roman" w:hAnsi="Times New Roman" w:eastAsia="Times New Roman" w:cs="Times New Roman"/>
        <w:sz w:val="24"/>
        <w:szCs w:val="24"/>
        <w:highlight w:val="none"/>
      </w:rPr>
    </w:r>
  </w:p>
  <w:p>
    <w:pPr>
      <w:pStyle w:val="706"/>
      <w:pBdr/>
      <w:spacing/>
      <w:ind w:right="0" w:firstLine="5386" w:left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highlight w:val="none"/>
      </w:rPr>
      <w:t xml:space="preserve">18 серпня 2026 року № 247</w:t>
    </w:r>
    <w:r>
      <w:rPr>
        <w:rFonts w:ascii="Times New Roman" w:hAnsi="Times New Roman" w:eastAsia="Times New Roman" w:cs="Times New Roman"/>
        <w:sz w:val="24"/>
        <w:szCs w:val="24"/>
        <w:highlight w:val="no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2"/>
  </w:num>
  <w:num w:numId="2">
    <w:abstractNumId w:val="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>
          <w:b/>
        </w:rPr>
        <w:start w:val="0"/>
        <w:suff w:val="tab"/>
      </w:lvl>
    </w:lvlOverride>
  </w:num>
  <w:num w:numId="3">
    <w:abstractNumId w:val="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>
          <w:b/>
        </w:rPr>
        <w:start w:val="0"/>
        <w:suff w:val="tab"/>
      </w:lvl>
    </w:lvlOverride>
  </w:num>
  <w:num w:numId="4">
    <w:abstractNumId w:val="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>
          <w:b/>
        </w:rPr>
        <w:start w:val="0"/>
        <w:suff w:val="tab"/>
      </w:lvl>
    </w:lvlOverride>
  </w:num>
  <w:num w:numId="5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>
          <w:b/>
        </w:rPr>
        <w:start w:val="0"/>
        <w:suff w:val="tab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0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99"/>
    <w:next w:val="69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99"/>
    <w:next w:val="69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99"/>
    <w:next w:val="69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99"/>
    <w:next w:val="69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99"/>
    <w:next w:val="69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99"/>
    <w:next w:val="69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99"/>
    <w:next w:val="69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99"/>
    <w:next w:val="69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99"/>
    <w:next w:val="69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0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0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0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0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0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0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0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0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0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99"/>
    <w:next w:val="69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0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99"/>
    <w:next w:val="69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0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99"/>
    <w:next w:val="69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0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9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7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99"/>
    <w:next w:val="69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0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9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0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0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00"/>
    <w:link w:val="706"/>
    <w:uiPriority w:val="99"/>
    <w:pPr>
      <w:pBdr/>
      <w:spacing/>
      <w:ind/>
    </w:pPr>
  </w:style>
  <w:style w:type="character" w:styleId="178">
    <w:name w:val="Footer Char"/>
    <w:basedOn w:val="700"/>
    <w:link w:val="708"/>
    <w:uiPriority w:val="99"/>
    <w:pPr>
      <w:pBdr/>
      <w:spacing/>
      <w:ind/>
    </w:pPr>
  </w:style>
  <w:style w:type="paragraph" w:styleId="179">
    <w:name w:val="Caption"/>
    <w:basedOn w:val="699"/>
    <w:next w:val="69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9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0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0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9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0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0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99"/>
    <w:next w:val="699"/>
    <w:uiPriority w:val="99"/>
    <w:unhideWhenUsed/>
    <w:pPr>
      <w:pBdr/>
      <w:spacing w:after="0" w:afterAutospacing="0"/>
      <w:ind/>
    </w:pPr>
  </w:style>
  <w:style w:type="paragraph" w:styleId="699" w:default="1">
    <w:name w:val="Normal"/>
    <w:qFormat/>
    <w:pPr>
      <w:pBdr/>
      <w:spacing/>
      <w:ind/>
    </w:pPr>
  </w:style>
  <w:style w:type="character" w:styleId="700" w:default="1">
    <w:name w:val="Default Paragraph Font"/>
    <w:uiPriority w:val="1"/>
    <w:semiHidden/>
    <w:unhideWhenUsed/>
    <w:pPr>
      <w:pBdr/>
      <w:spacing/>
      <w:ind/>
    </w:pPr>
  </w:style>
  <w:style w:type="table" w:styleId="70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2" w:default="1">
    <w:name w:val="No List"/>
    <w:uiPriority w:val="99"/>
    <w:semiHidden/>
    <w:unhideWhenUsed/>
    <w:pPr>
      <w:pBdr/>
      <w:spacing/>
      <w:ind/>
    </w:pPr>
  </w:style>
  <w:style w:type="paragraph" w:styleId="703" w:customStyle="1">
    <w:name w:val="docdata"/>
    <w:basedOn w:val="6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704">
    <w:name w:val="Normal (Web)"/>
    <w:basedOn w:val="69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705">
    <w:name w:val="Hyperlink"/>
    <w:basedOn w:val="700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706">
    <w:name w:val="Header"/>
    <w:basedOn w:val="699"/>
    <w:link w:val="707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07" w:customStyle="1">
    <w:name w:val="Верхний колонтитул Знак"/>
    <w:basedOn w:val="700"/>
    <w:link w:val="706"/>
    <w:uiPriority w:val="99"/>
    <w:pPr>
      <w:pBdr/>
      <w:spacing/>
      <w:ind/>
    </w:pPr>
  </w:style>
  <w:style w:type="paragraph" w:styleId="708">
    <w:name w:val="Footer"/>
    <w:basedOn w:val="699"/>
    <w:link w:val="709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709" w:customStyle="1">
    <w:name w:val="Нижний колонтитул Знак"/>
    <w:basedOn w:val="700"/>
    <w:link w:val="708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Четвертакова Н.В.</dc:creator>
  <cp:keywords/>
  <dc:description/>
  <cp:lastModifiedBy>Четвертакова Наталія Вікторівна</cp:lastModifiedBy>
  <cp:revision>3</cp:revision>
  <dcterms:created xsi:type="dcterms:W3CDTF">2026-08-19T07:34:00Z</dcterms:created>
  <dcterms:modified xsi:type="dcterms:W3CDTF">2026-08-24T08:55:25Z</dcterms:modified>
</cp:coreProperties>
</file>