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35"/>
        <w:widowControl w:val="false"/>
        <w:pBdr/>
        <w:spacing w:after="0" w:line="240" w:lineRule="auto"/>
        <w:ind/>
        <w:jc w:val="center"/>
        <w:rPr>
          <w:rFonts w:ascii="Times New Roman" w:hAnsi="Times New Roman" w:eastAsia="Lucida Sans Unicode"/>
          <w:b/>
          <w:color w:val="000000"/>
          <w:sz w:val="28"/>
          <w:szCs w:val="28"/>
          <w:lang w:eastAsia="hi-IN" w:bidi="hi-IN"/>
        </w:rPr>
      </w:pPr>
      <w:r>
        <w:rPr>
          <w:rFonts w:ascii="Times New Roman" w:hAnsi="Times New Roman" w:eastAsia="Lucida Sans Unicode"/>
          <w:b/>
          <w:color w:val="000000"/>
          <w:sz w:val="28"/>
          <w:szCs w:val="28"/>
          <w:lang w:eastAsia="hi-IN" w:bidi="hi-IN"/>
        </w:rPr>
      </w:r>
      <w:r>
        <w:rPr>
          <w:rFonts w:ascii="Times New Roman" w:hAnsi="Times New Roman" w:eastAsia="Lucida Sans Unicode"/>
          <w:b/>
          <w:color w:val="000000"/>
          <w:sz w:val="28"/>
          <w:szCs w:val="28"/>
          <w:lang w:eastAsia="hi-IN" w:bidi="hi-IN"/>
        </w:rPr>
      </w:r>
      <w:r>
        <w:rPr>
          <w:rFonts w:ascii="Times New Roman" w:hAnsi="Times New Roman" w:eastAsia="Lucida Sans Unicode"/>
          <w:b/>
          <w:color w:val="000000"/>
          <w:sz w:val="28"/>
          <w:szCs w:val="28"/>
          <w:lang w:eastAsia="hi-IN" w:bidi="hi-IN"/>
        </w:rPr>
      </w:r>
    </w:p>
    <w:p>
      <w:pPr>
        <w:pStyle w:val="935"/>
        <w:widowControl w:val="false"/>
        <w:pBdr/>
        <w:spacing w:after="0" w:line="240" w:lineRule="auto"/>
        <w:ind/>
        <w:jc w:val="center"/>
        <w:rPr>
          <w:rFonts w:ascii="Times New Roman" w:hAnsi="Times New Roman" w:eastAsia="Lucida Sans Unicode"/>
          <w:b/>
          <w:color w:val="000000"/>
          <w:sz w:val="28"/>
          <w:szCs w:val="28"/>
          <w:lang w:eastAsia="hi-IN" w:bidi="hi-IN"/>
        </w:rPr>
      </w:pPr>
      <w:r>
        <w:rPr>
          <w:rFonts w:ascii="Times New Roman" w:hAnsi="Times New Roman" w:eastAsia="Lucida Sans Unicode"/>
          <w:b/>
          <w:color w:val="000000"/>
          <w:sz w:val="28"/>
          <w:szCs w:val="28"/>
          <w:lang w:eastAsia="hi-IN" w:bidi="hi-IN"/>
        </w:rPr>
        <w:t xml:space="preserve">МЕНСЬКА МІСЬКА РАДА</w:t>
      </w:r>
      <w:r>
        <w:rPr>
          <w:rFonts w:ascii="Times New Roman" w:hAnsi="Times New Roman" w:eastAsia="Lucida Sans Unicode"/>
          <w:b/>
          <w:color w:val="000000"/>
          <w:sz w:val="28"/>
          <w:szCs w:val="28"/>
          <w:lang w:eastAsia="hi-IN" w:bidi="hi-IN"/>
        </w:rPr>
      </w:r>
      <w:r>
        <w:rPr>
          <w:rFonts w:ascii="Times New Roman" w:hAnsi="Times New Roman" w:eastAsia="Lucida Sans Unicode"/>
          <w:b/>
          <w:color w:val="000000"/>
          <w:sz w:val="28"/>
          <w:szCs w:val="28"/>
          <w:lang w:eastAsia="hi-IN" w:bidi="hi-IN"/>
        </w:rPr>
      </w:r>
    </w:p>
    <w:p>
      <w:pPr>
        <w:pStyle w:val="935"/>
        <w:widowControl w:val="false"/>
        <w:pBdr/>
        <w:spacing w:after="0" w:line="240" w:lineRule="auto"/>
        <w:ind/>
        <w:jc w:val="center"/>
        <w:rPr>
          <w:rFonts w:ascii="Times New Roman" w:hAnsi="Times New Roman" w:eastAsia="Lucida Sans Unicode"/>
          <w:b/>
          <w:color w:val="000000"/>
          <w:sz w:val="16"/>
          <w:szCs w:val="16"/>
        </w:rPr>
      </w:pPr>
      <w:r>
        <w:rPr>
          <w:rFonts w:ascii="Times New Roman" w:hAnsi="Times New Roman" w:eastAsia="Lucida Sans Unicode"/>
          <w:b/>
          <w:color w:val="000000"/>
          <w:sz w:val="16"/>
          <w:szCs w:val="16"/>
        </w:rPr>
      </w:r>
      <w:r>
        <w:rPr>
          <w:rFonts w:ascii="Times New Roman" w:hAnsi="Times New Roman" w:eastAsia="Lucida Sans Unicode"/>
          <w:b/>
          <w:color w:val="000000"/>
          <w:sz w:val="16"/>
          <w:szCs w:val="16"/>
        </w:rPr>
      </w:r>
      <w:r>
        <w:rPr>
          <w:rFonts w:ascii="Times New Roman" w:hAnsi="Times New Roman" w:eastAsia="Lucida Sans Unicode"/>
          <w:b/>
          <w:color w:val="000000"/>
          <w:sz w:val="16"/>
          <w:szCs w:val="16"/>
        </w:rPr>
      </w:r>
    </w:p>
    <w:p>
      <w:pPr>
        <w:pStyle w:val="935"/>
        <w:widowControl w:val="false"/>
        <w:pBdr/>
        <w:spacing w:after="0" w:line="240" w:lineRule="auto"/>
        <w:ind/>
        <w:jc w:val="center"/>
        <w:rPr>
          <w:rFonts w:ascii="Times New Roman" w:hAnsi="Times New Roman" w:eastAsia="Lucida Sans Unicode"/>
          <w:b/>
          <w:color w:val="000000"/>
          <w:sz w:val="28"/>
          <w:szCs w:val="28"/>
        </w:rPr>
      </w:pPr>
      <w:r>
        <w:rPr>
          <w:rFonts w:ascii="Times New Roman" w:hAnsi="Times New Roman" w:eastAsia="Lucida Sans Unicode"/>
          <w:b/>
          <w:color w:val="000000"/>
          <w:sz w:val="28"/>
          <w:szCs w:val="28"/>
          <w:lang w:eastAsia="hi-IN" w:bidi="hi-IN"/>
        </w:rPr>
        <w:t xml:space="preserve">ВИКОНАВЧИЙ КОМІТЕТ</w:t>
      </w:r>
      <w:r>
        <w:rPr>
          <w:rFonts w:ascii="Times New Roman" w:hAnsi="Times New Roman" w:eastAsia="Lucida Sans Unicode"/>
          <w:b/>
          <w:color w:val="000000"/>
          <w:sz w:val="28"/>
          <w:szCs w:val="28"/>
        </w:rPr>
      </w:r>
      <w:r>
        <w:rPr>
          <w:rFonts w:ascii="Times New Roman" w:hAnsi="Times New Roman" w:eastAsia="Lucida Sans Unicode"/>
          <w:b/>
          <w:color w:val="000000"/>
          <w:sz w:val="28"/>
          <w:szCs w:val="28"/>
        </w:rPr>
      </w:r>
    </w:p>
    <w:p>
      <w:pPr>
        <w:pStyle w:val="935"/>
        <w:widowControl w:val="false"/>
        <w:pBdr/>
        <w:tabs>
          <w:tab w:val="left" w:leader="none" w:pos="4536"/>
        </w:tabs>
        <w:spacing w:after="0" w:line="240" w:lineRule="auto"/>
        <w:ind/>
        <w:jc w:val="center"/>
        <w:rPr>
          <w:rFonts w:ascii="Times New Roman" w:hAnsi="Times New Roman" w:eastAsia="Lucida Sans Unicode"/>
          <w:b/>
          <w:color w:val="000000"/>
          <w:sz w:val="28"/>
          <w:szCs w:val="28"/>
          <w:lang w:eastAsia="hi-IN" w:bidi="hi-IN"/>
        </w:rPr>
      </w:pPr>
      <w:r>
        <w:rPr>
          <w:rFonts w:ascii="Times New Roman" w:hAnsi="Times New Roman" w:eastAsia="Lucida Sans Unicode"/>
          <w:b/>
          <w:color w:val="000000"/>
          <w:sz w:val="28"/>
          <w:szCs w:val="28"/>
          <w:lang w:eastAsia="hi-IN" w:bidi="hi-IN"/>
        </w:rPr>
        <w:t xml:space="preserve">РІШЕННЯ</w:t>
      </w:r>
      <w:r>
        <w:rPr>
          <w:rFonts w:ascii="Times New Roman" w:hAnsi="Times New Roman" w:eastAsia="Lucida Sans Unicode"/>
          <w:b/>
          <w:color w:val="000000"/>
          <w:sz w:val="28"/>
          <w:szCs w:val="28"/>
          <w:lang w:eastAsia="hi-IN" w:bidi="hi-IN"/>
        </w:rPr>
      </w:r>
      <w:r>
        <w:rPr>
          <w:rFonts w:ascii="Times New Roman" w:hAnsi="Times New Roman" w:eastAsia="Lucida Sans Unicode"/>
          <w:b/>
          <w:color w:val="000000"/>
          <w:sz w:val="28"/>
          <w:szCs w:val="28"/>
          <w:lang w:eastAsia="hi-IN" w:bidi="hi-IN"/>
        </w:rPr>
      </w:r>
    </w:p>
    <w:p>
      <w:pPr>
        <w:pStyle w:val="935"/>
        <w:widowControl w:val="false"/>
        <w:pBdr/>
        <w:tabs>
          <w:tab w:val="left" w:leader="none" w:pos="4394"/>
          <w:tab w:val="left" w:leader="none" w:pos="7228"/>
        </w:tabs>
        <w:spacing/>
        <w:ind/>
        <w:rPr>
          <w:rFonts w:ascii="Times New Roman" w:hAnsi="Times New Roman" w:eastAsia="Lucida Sans Unicode"/>
          <w:b/>
          <w:color w:val="000000"/>
          <w:sz w:val="28"/>
          <w:szCs w:val="28"/>
        </w:rPr>
      </w:pPr>
      <w:r>
        <w:rPr>
          <w:rFonts w:ascii="Times New Roman" w:hAnsi="Times New Roman" w:eastAsia="Lucida Sans Unicode"/>
          <w:b/>
          <w:color w:val="000000"/>
          <w:sz w:val="28"/>
          <w:szCs w:val="28"/>
        </w:rPr>
      </w:r>
      <w:r>
        <w:rPr>
          <w:rFonts w:ascii="Times New Roman" w:hAnsi="Times New Roman" w:eastAsia="Lucida Sans Unicode"/>
          <w:b/>
          <w:color w:val="000000"/>
          <w:sz w:val="28"/>
          <w:szCs w:val="28"/>
        </w:rPr>
      </w:r>
      <w:r>
        <w:rPr>
          <w:rFonts w:ascii="Times New Roman" w:hAnsi="Times New Roman" w:eastAsia="Lucida Sans Unicode"/>
          <w:b/>
          <w:color w:val="000000"/>
          <w:sz w:val="28"/>
          <w:szCs w:val="28"/>
        </w:rPr>
      </w:r>
    </w:p>
    <w:p>
      <w:pPr>
        <w:pStyle w:val="935"/>
        <w:widowControl w:val="false"/>
        <w:pBdr/>
        <w:tabs>
          <w:tab w:val="left" w:leader="none" w:pos="4394"/>
          <w:tab w:val="left" w:leader="none" w:pos="4536"/>
          <w:tab w:val="left" w:leader="none" w:pos="7228"/>
          <w:tab w:val="left" w:leader="none" w:pos="7371"/>
        </w:tabs>
        <w:spacing/>
        <w:ind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Lucida Sans Unicode"/>
          <w:color w:val="000000"/>
          <w:sz w:val="28"/>
          <w:szCs w:val="28"/>
        </w:rPr>
        <w:t xml:space="preserve">28 липня</w:t>
      </w:r>
      <w:r>
        <w:rPr>
          <w:rFonts w:ascii="Times New Roman" w:hAnsi="Times New Roman" w:eastAsia="Lucida Sans Unicode"/>
          <w:color w:val="000000"/>
          <w:sz w:val="28"/>
          <w:szCs w:val="28"/>
          <w:lang w:eastAsia="hi-IN" w:bidi="hi-IN"/>
        </w:rPr>
        <w:t xml:space="preserve"> 2026</w:t>
      </w:r>
      <w:r>
        <w:rPr>
          <w:rFonts w:ascii="Times New Roman" w:hAnsi="Times New Roman" w:eastAsia="Lucida Sans Unicode"/>
          <w:color w:val="000000"/>
          <w:sz w:val="28"/>
          <w:szCs w:val="28"/>
          <w:lang w:eastAsia="hi-IN" w:bidi="hi-IN"/>
        </w:rPr>
        <w:t xml:space="preserve"> року</w:t>
      </w:r>
      <w:r>
        <w:rPr>
          <w:rFonts w:ascii="Times New Roman" w:hAnsi="Times New Roman" w:eastAsia="Lucida Sans Unicode"/>
          <w:color w:val="000000"/>
          <w:sz w:val="28"/>
          <w:szCs w:val="28"/>
          <w:lang w:eastAsia="hi-IN" w:bidi="hi-IN"/>
        </w:rPr>
        <w:tab/>
        <w:t xml:space="preserve"> м. Мена</w:t>
      </w:r>
      <w:r>
        <w:rPr>
          <w:rFonts w:eastAsia="Lucida Sans Unicode"/>
          <w:color w:val="000000"/>
          <w:sz w:val="28"/>
          <w:szCs w:val="28"/>
          <w:lang w:eastAsia="hi-IN" w:bidi="hi-IN"/>
        </w:rPr>
        <w:tab/>
        <w:t xml:space="preserve">  </w:t>
      </w:r>
      <w:r>
        <w:rPr>
          <w:rFonts w:ascii="Times New Roman" w:hAnsi="Times New Roman" w:eastAsia="Lucida Sans Unicode"/>
          <w:color w:val="000000"/>
          <w:sz w:val="28"/>
          <w:szCs w:val="28"/>
          <w:lang w:eastAsia="hi-IN" w:bidi="hi-IN"/>
        </w:rPr>
        <w:t xml:space="preserve">№</w:t>
      </w:r>
      <w:r>
        <w:rPr>
          <w:rFonts w:eastAsia="Lucida Sans Unicode"/>
          <w:color w:val="000000"/>
          <w:sz w:val="28"/>
          <w:szCs w:val="28"/>
          <w:lang w:eastAsia="hi-IN" w:bidi="hi-IN"/>
        </w:rPr>
        <w:t xml:space="preserve"> </w:t>
      </w:r>
      <w:r>
        <w:rPr>
          <w:rFonts w:eastAsia="Lucida Sans Unicode"/>
          <w:color w:val="000000"/>
          <w:sz w:val="28"/>
          <w:szCs w:val="28"/>
          <w:lang w:eastAsia="hi-IN" w:bidi="hi-IN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hi-IN" w:bidi="hi-IN"/>
        </w:rPr>
        <w:t xml:space="preserve">150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935"/>
        <w:pBdr/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 конкурсний відбір суб’єктів оціночної діяльності з незалежної оцінки майна комунальної форми власності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935"/>
        <w:pBdr/>
        <w:spacing w:after="0" w:line="240" w:lineRule="auto"/>
        <w:ind w:right="1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widowControl w:val="false"/>
        <w:pBdr/>
        <w:spacing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 метою впорядкування роботи виконавчого комітету Менської міської ради стосовно проведення конкурсів по визначенню суб’єктів оціночної діяльності з н</w:t>
      </w:r>
      <w:r>
        <w:rPr>
          <w:rFonts w:ascii="Times New Roman" w:hAnsi="Times New Roman"/>
          <w:sz w:val="28"/>
          <w:szCs w:val="28"/>
        </w:rPr>
        <w:t xml:space="preserve">езалежної оцінки комунального майна, керуючись рішенням 43 сесії Менської міської ради 7 скликання від 29.09.2020 № 451 «Про врегулювання відносин щодо оренди майна, що перебуває у комунальній власності Менської міської об’єднаної територіальної громади», </w:t>
      </w:r>
      <w:r>
        <w:rPr>
          <w:rFonts w:ascii="Times New Roman" w:hAnsi="Times New Roman" w:eastAsia="Lucida Sans Unicode"/>
          <w:sz w:val="28"/>
          <w:szCs w:val="28"/>
          <w:lang w:eastAsia="hi-IN" w:bidi="hi-IN"/>
        </w:rPr>
        <w:t xml:space="preserve">Положенням про конкурсний відбір суб’єктів оціночної діяльності», за</w:t>
      </w:r>
      <w:r>
        <w:rPr>
          <w:rFonts w:ascii="Times New Roman" w:hAnsi="Times New Roman" w:eastAsia="Lucida Sans Unicode"/>
          <w:sz w:val="28"/>
          <w:szCs w:val="28"/>
          <w:lang w:eastAsia="hi-IN" w:bidi="hi-IN"/>
        </w:rPr>
        <w:t xml:space="preserve">твердженим Наказом Фонду державного майна України від 31.12.2015 № 2075, Законами України «Про приватизацію державного і комунального майна», «Про оренду державного і комунального майна», «Про оцінку майна, майнових прав та професійну оціночну діяльність в</w:t>
      </w:r>
      <w:r>
        <w:rPr>
          <w:rFonts w:ascii="Times New Roman" w:hAnsi="Times New Roman" w:eastAsia="Lucida Sans Unicode"/>
          <w:sz w:val="28"/>
          <w:szCs w:val="28"/>
          <w:lang w:eastAsia="hi-IN" w:bidi="hi-IN"/>
        </w:rPr>
        <w:t xml:space="preserve"> Україні», </w:t>
      </w:r>
      <w:r>
        <w:rPr>
          <w:rFonts w:ascii="Times New Roman" w:hAnsi="Times New Roman" w:eastAsia="Lucida Sans Unicode"/>
          <w:sz w:val="28"/>
          <w:szCs w:val="28"/>
          <w:lang w:eastAsia="hi-IN" w:bidi="hi-IN"/>
        </w:rPr>
        <w:t xml:space="preserve">«Про місцеве самоврядування в Україні», виконавчий комітет Менської міської ради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35"/>
        <w:pBdr/>
        <w:spacing w:after="0" w:line="240" w:lineRule="auto"/>
        <w:ind w:right="-1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ВИРІШИВ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5"/>
        <w:numPr>
          <w:ilvl w:val="0"/>
          <w:numId w:val="2"/>
        </w:numPr>
        <w:pBdr/>
        <w:tabs>
          <w:tab w:val="left" w:leader="none" w:pos="851"/>
        </w:tabs>
        <w:spacing w:after="0" w:line="240" w:lineRule="auto"/>
        <w:ind w:right="-1" w:firstLine="567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Створити конкурсну комісію</w:t>
      </w:r>
      <w:r>
        <w:rPr>
          <w:rFonts w:ascii="Times New Roman" w:hAnsi="Times New Roman"/>
          <w:sz w:val="28"/>
          <w:szCs w:val="28"/>
        </w:rPr>
        <w:t xml:space="preserve"> з відбору суб’єктів оціночної діяльності з незале</w:t>
      </w:r>
      <w:r>
        <w:rPr>
          <w:rFonts w:ascii="Times New Roman" w:hAnsi="Times New Roman"/>
          <w:sz w:val="28"/>
          <w:szCs w:val="28"/>
        </w:rPr>
        <w:t xml:space="preserve">жної оцінки </w:t>
      </w:r>
      <w:r>
        <w:rPr>
          <w:rFonts w:ascii="Times New Roman" w:hAnsi="Times New Roman"/>
          <w:sz w:val="28"/>
          <w:szCs w:val="28"/>
        </w:rPr>
        <w:t xml:space="preserve">майна комунальної власності Менської міської територіальної громади </w:t>
      </w:r>
      <w:r>
        <w:rPr>
          <w:rFonts w:ascii="Times New Roman" w:hAnsi="Times New Roman"/>
          <w:sz w:val="28"/>
          <w:szCs w:val="28"/>
        </w:rPr>
        <w:t xml:space="preserve">(далі – Конкурсна комісія)</w:t>
      </w:r>
      <w:r>
        <w:rPr>
          <w:rFonts w:ascii="Times New Roman" w:hAnsi="Times New Roman"/>
          <w:sz w:val="28"/>
          <w:szCs w:val="28"/>
        </w:rPr>
        <w:t xml:space="preserve"> у наступному складі</w:t>
      </w:r>
      <w:r>
        <w:rPr>
          <w:rFonts w:ascii="Times New Roman" w:hAnsi="Times New Roman"/>
          <w:sz w:val="28"/>
          <w:szCs w:val="28"/>
        </w:rPr>
        <w:t xml:space="preserve">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35"/>
        <w:pBdr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Голова комісії: </w:t>
      </w:r>
      <w:r>
        <w:rPr>
          <w:rFonts w:ascii="Times New Roman" w:hAnsi="Times New Roman"/>
          <w:sz w:val="28"/>
          <w:szCs w:val="28"/>
        </w:rPr>
        <w:t xml:space="preserve">Марцева Тетяна Іванівна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начальник юридичного відділу Менської міської ради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35"/>
        <w:pBdr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голови комісії: Єкименко Ірина Валеріївна – начальник відділу житлово-комунального господарства та комунального майна Менської міської ради.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35"/>
        <w:pBdr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 комісії: </w:t>
      </w:r>
      <w:r>
        <w:rPr>
          <w:rFonts w:ascii="Times New Roman" w:hAnsi="Times New Roman"/>
          <w:sz w:val="28"/>
          <w:szCs w:val="28"/>
        </w:rPr>
        <w:t xml:space="preserve">Бернадська Тетяна Анатоліївна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заступник </w:t>
      </w:r>
      <w:r>
        <w:rPr>
          <w:rFonts w:ascii="Times New Roman" w:hAnsi="Times New Roman"/>
          <w:sz w:val="28"/>
          <w:szCs w:val="28"/>
        </w:rPr>
        <w:t xml:space="preserve">начальник</w:t>
      </w:r>
      <w:r>
        <w:rPr>
          <w:rFonts w:ascii="Times New Roman" w:hAnsi="Times New Roman"/>
          <w:sz w:val="28"/>
          <w:szCs w:val="28"/>
        </w:rPr>
        <w:t xml:space="preserve">а</w:t>
      </w:r>
      <w:r>
        <w:rPr>
          <w:rFonts w:ascii="Times New Roman" w:hAnsi="Times New Roman"/>
          <w:sz w:val="28"/>
          <w:szCs w:val="28"/>
        </w:rPr>
        <w:t xml:space="preserve"> юридичного відділу Менської міської ради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35"/>
        <w:pBdr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Члени комісії: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35"/>
        <w:pBdr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Крамаренко Валентина </w:t>
      </w:r>
      <w:r>
        <w:rPr>
          <w:rFonts w:ascii="Times New Roman" w:hAnsi="Times New Roman"/>
          <w:sz w:val="28"/>
          <w:szCs w:val="28"/>
        </w:rPr>
        <w:t xml:space="preserve">Віталіївна – заступник начальника відділу бухгалтерського обліку та </w:t>
      </w:r>
      <w:r>
        <w:rPr>
          <w:rFonts w:ascii="Times New Roman" w:hAnsi="Times New Roman"/>
          <w:sz w:val="28"/>
          <w:szCs w:val="28"/>
        </w:rPr>
        <w:t xml:space="preserve">звітності Менської міської ради;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35"/>
        <w:pBdr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Ющенко Андрій Михайлович – начальник відділу архітектури та містобудування </w:t>
      </w:r>
      <w:r>
        <w:rPr>
          <w:rFonts w:ascii="Times New Roman" w:hAnsi="Times New Roman"/>
          <w:sz w:val="28"/>
          <w:szCs w:val="28"/>
        </w:rPr>
        <w:t xml:space="preserve">Менської міської ради.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35"/>
        <w:pBdr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2.Утворити робочу групу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 підготовки інформації про конкурс, опрацювання поданих претендентами документів та інформаційної довідки (далі – Робоча група) в складі: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35"/>
        <w:pBdr/>
        <w:spacing w:after="0" w:line="240" w:lineRule="auto"/>
        <w:ind w:right="-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Власенко Тетяна Іванівна – головний</w:t>
      </w:r>
      <w:r>
        <w:rPr>
          <w:rFonts w:ascii="Times New Roman" w:hAnsi="Times New Roman"/>
          <w:sz w:val="28"/>
          <w:szCs w:val="28"/>
        </w:rPr>
        <w:t xml:space="preserve"> спеціаліст відділу житлово-комунального г</w:t>
      </w:r>
      <w:r>
        <w:rPr>
          <w:rFonts w:ascii="Times New Roman" w:hAnsi="Times New Roman"/>
          <w:sz w:val="28"/>
          <w:szCs w:val="28"/>
        </w:rPr>
        <w:t xml:space="preserve">осподарства </w:t>
      </w:r>
      <w:r>
        <w:rPr>
          <w:rFonts w:ascii="Times New Roman" w:hAnsi="Times New Roman"/>
          <w:sz w:val="28"/>
          <w:szCs w:val="28"/>
        </w:rPr>
        <w:t xml:space="preserve">та комунального майна Менської міської ради;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35"/>
        <w:pBdr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Мекенче</w:t>
      </w:r>
      <w:r>
        <w:rPr>
          <w:rFonts w:ascii="Times New Roman" w:hAnsi="Times New Roman"/>
          <w:sz w:val="28"/>
          <w:szCs w:val="28"/>
        </w:rPr>
        <w:t xml:space="preserve">нко Віра Володимирівна</w:t>
      </w:r>
      <w:r>
        <w:rPr>
          <w:rFonts w:ascii="Times New Roman" w:hAnsi="Times New Roman"/>
          <w:sz w:val="28"/>
          <w:szCs w:val="28"/>
        </w:rPr>
        <w:t xml:space="preserve"> – головний спеціаліст відділу бухгалтерського обліку та </w:t>
      </w:r>
      <w:r>
        <w:rPr>
          <w:rFonts w:ascii="Times New Roman" w:hAnsi="Times New Roman"/>
          <w:sz w:val="28"/>
          <w:szCs w:val="28"/>
        </w:rPr>
        <w:t xml:space="preserve">звітності Менської міської ради;</w:t>
      </w:r>
      <w:bookmarkStart w:id="0" w:name="_GoBack"/>
      <w:r/>
      <w:bookmarkEnd w:id="0"/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35"/>
        <w:pBdr/>
        <w:spacing w:after="0" w:line="240" w:lineRule="auto"/>
        <w:ind w:right="-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Чуб Дар</w:t>
      </w:r>
      <w:r>
        <w:rPr>
          <w:rFonts w:ascii="Times New Roman" w:hAnsi="Times New Roman"/>
          <w:sz w:val="28"/>
          <w:szCs w:val="28"/>
          <w:lang w:val="en-US"/>
        </w:rPr>
        <w:t xml:space="preserve">’</w:t>
      </w:r>
      <w:r>
        <w:rPr>
          <w:rFonts w:ascii="Times New Roman" w:hAnsi="Times New Roman"/>
          <w:sz w:val="28"/>
          <w:szCs w:val="28"/>
        </w:rPr>
        <w:t xml:space="preserve">я Андріївна</w:t>
      </w:r>
      <w:r>
        <w:rPr>
          <w:rFonts w:ascii="Times New Roman" w:hAnsi="Times New Roman"/>
          <w:sz w:val="28"/>
          <w:szCs w:val="28"/>
        </w:rPr>
        <w:t xml:space="preserve"> – головний спеціаліст юридичного відділу Менської міської ради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775"/>
        <w:pBdr/>
        <w:tabs>
          <w:tab w:val="left" w:leader="none" w:pos="567"/>
          <w:tab w:val="left" w:leader="none" w:pos="851"/>
        </w:tabs>
        <w:spacing/>
        <w:ind w:right="-1" w:firstLine="567" w:left="0"/>
        <w:jc w:val="both"/>
        <w:rPr>
          <w:rFonts w:ascii="Times New Roman" w:hAnsi="Times New Roman" w:eastAsia="Lucida Sans Unicode"/>
          <w:sz w:val="28"/>
          <w:szCs w:val="28"/>
          <w:lang w:eastAsia="hi-IN" w:bidi="hi-IN"/>
        </w:rPr>
      </w:pPr>
      <w:r>
        <w:rPr>
          <w:rFonts w:ascii="Times New Roman" w:hAnsi="Times New Roman"/>
          <w:sz w:val="28"/>
          <w:szCs w:val="28"/>
        </w:rPr>
        <w:t xml:space="preserve">3.Конкурсній комісії та Робочій групі в своїй діяльності керуватись «</w:t>
      </w:r>
      <w:r>
        <w:rPr>
          <w:rFonts w:ascii="Times New Roman" w:hAnsi="Times New Roman" w:eastAsia="Lucida Sans Unicode"/>
          <w:sz w:val="28"/>
          <w:szCs w:val="28"/>
          <w:lang w:eastAsia="hi-IN" w:bidi="hi-IN"/>
        </w:rPr>
        <w:t xml:space="preserve">Положенням про конкурсний відбір суб’єктів оціночної діяльності», затвердженим Наказом Фонду державного майна України від 31.12.2015 № 2075.</w:t>
      </w:r>
      <w:r>
        <w:rPr>
          <w:rFonts w:ascii="Times New Roman" w:hAnsi="Times New Roman" w:eastAsia="Lucida Sans Unicode"/>
          <w:sz w:val="28"/>
          <w:szCs w:val="28"/>
          <w:lang w:eastAsia="hi-IN" w:bidi="hi-IN"/>
        </w:rPr>
      </w:r>
      <w:r>
        <w:rPr>
          <w:rFonts w:ascii="Times New Roman" w:hAnsi="Times New Roman" w:eastAsia="Lucida Sans Unicode"/>
          <w:sz w:val="28"/>
          <w:szCs w:val="28"/>
          <w:lang w:eastAsia="hi-IN" w:bidi="hi-IN"/>
        </w:rPr>
      </w:r>
    </w:p>
    <w:p>
      <w:pPr>
        <w:pStyle w:val="775"/>
        <w:pBdr/>
        <w:tabs>
          <w:tab w:val="left" w:leader="none" w:pos="567"/>
          <w:tab w:val="left" w:leader="none" w:pos="851"/>
        </w:tabs>
        <w:spacing/>
        <w:ind w:right="-1" w:firstLine="567" w:left="0"/>
        <w:jc w:val="both"/>
        <w:rPr>
          <w:rFonts w:ascii="Times New Roman" w:hAnsi="Times New Roman" w:eastAsia="Lucida Sans Unicode"/>
          <w:sz w:val="28"/>
          <w:szCs w:val="28"/>
          <w:lang w:eastAsia="hi-IN" w:bidi="hi-IN"/>
        </w:rPr>
      </w:pPr>
      <w:r>
        <w:rPr>
          <w:rFonts w:ascii="Times New Roman" w:hAnsi="Times New Roman" w:eastAsia="Lucida Sans Unicode"/>
          <w:sz w:val="28"/>
          <w:szCs w:val="28"/>
          <w:lang w:eastAsia="hi-IN" w:bidi="hi-IN"/>
        </w:rPr>
        <w:t xml:space="preserve">4.Проведення конкурсного відбору </w:t>
      </w:r>
      <w:r>
        <w:rPr>
          <w:rFonts w:ascii="Times New Roman" w:hAnsi="Times New Roman"/>
          <w:sz w:val="28"/>
          <w:szCs w:val="28"/>
        </w:rPr>
        <w:t xml:space="preserve">суб’єктів оціночної діяльності з незалежної оцінки комунального майна здійснювати за зверненням керівника </w:t>
      </w:r>
      <w:r>
        <w:rPr>
          <w:rFonts w:ascii="Times New Roman" w:hAnsi="Times New Roman" w:eastAsia="Lucida Sans Unicode"/>
          <w:sz w:val="28"/>
          <w:szCs w:val="28"/>
          <w:lang w:eastAsia="hi-IN" w:bidi="hi-IN"/>
        </w:rPr>
        <w:t xml:space="preserve">зацікавленого структурного підрозділу Менської міської ради з наданням інформації щодо об’єкту незалежної оцінки.</w:t>
      </w:r>
      <w:r>
        <w:rPr>
          <w:rFonts w:ascii="Times New Roman" w:hAnsi="Times New Roman" w:eastAsia="Lucida Sans Unicode"/>
          <w:sz w:val="28"/>
          <w:szCs w:val="28"/>
          <w:lang w:eastAsia="hi-IN" w:bidi="hi-IN"/>
        </w:rPr>
      </w:r>
      <w:r>
        <w:rPr>
          <w:rFonts w:ascii="Times New Roman" w:hAnsi="Times New Roman" w:eastAsia="Lucida Sans Unicode"/>
          <w:sz w:val="28"/>
          <w:szCs w:val="28"/>
          <w:lang w:eastAsia="hi-IN" w:bidi="hi-IN"/>
        </w:rPr>
      </w:r>
    </w:p>
    <w:p>
      <w:pPr>
        <w:pStyle w:val="775"/>
        <w:pBdr/>
        <w:tabs>
          <w:tab w:val="left" w:leader="none" w:pos="567"/>
          <w:tab w:val="left" w:leader="none" w:pos="851"/>
        </w:tabs>
        <w:spacing/>
        <w:ind w:right="-1" w:firstLine="567" w:left="0"/>
        <w:jc w:val="both"/>
        <w:rPr>
          <w:rFonts w:ascii="Times New Roman" w:hAnsi="Times New Roman" w:eastAsia="Lucida Sans Unicode"/>
          <w:sz w:val="28"/>
          <w:szCs w:val="28"/>
          <w:lang w:eastAsia="hi-IN" w:bidi="hi-IN"/>
        </w:rPr>
      </w:pPr>
      <w:r>
        <w:rPr>
          <w:rFonts w:ascii="Times New Roman" w:hAnsi="Times New Roman" w:eastAsia="Lucida Sans Unicode"/>
          <w:sz w:val="28"/>
          <w:szCs w:val="28"/>
          <w:lang w:eastAsia="hi-IN" w:bidi="hi-IN"/>
        </w:rPr>
        <w:t xml:space="preserve">5. Рішення виконавчого коміт</w:t>
      </w:r>
      <w:r>
        <w:rPr>
          <w:rFonts w:ascii="Times New Roman" w:hAnsi="Times New Roman" w:eastAsia="Lucida Sans Unicode"/>
          <w:sz w:val="28"/>
          <w:szCs w:val="28"/>
          <w:lang w:eastAsia="hi-IN" w:bidi="hi-IN"/>
        </w:rPr>
        <w:t xml:space="preserve">ету Менської міської ради від </w:t>
      </w:r>
      <w:r>
        <w:rPr>
          <w:rFonts w:ascii="Times New Roman" w:hAnsi="Times New Roman" w:eastAsia="Lucida Sans Unicode"/>
          <w:sz w:val="28"/>
          <w:szCs w:val="28"/>
          <w:lang w:eastAsia="hi-IN" w:bidi="hi-IN"/>
        </w:rPr>
        <w:t xml:space="preserve">28 січня 2025 №19 «Про конкурсний відбір </w:t>
      </w:r>
      <w:r>
        <w:rPr>
          <w:rFonts w:ascii="Times New Roman" w:hAnsi="Times New Roman" w:eastAsia="Lucida Sans Unicode"/>
          <w:sz w:val="28"/>
          <w:szCs w:val="28"/>
          <w:lang w:eastAsia="hi-IN" w:bidi="hi-IN"/>
        </w:rPr>
        <w:t xml:space="preserve">суб’єктів</w:t>
      </w:r>
      <w:r>
        <w:rPr>
          <w:rFonts w:ascii="Times New Roman" w:hAnsi="Times New Roman" w:eastAsia="Lucida Sans Unicode"/>
          <w:sz w:val="28"/>
          <w:szCs w:val="28"/>
          <w:lang w:eastAsia="hi-IN" w:bidi="hi-IN"/>
        </w:rPr>
        <w:t xml:space="preserve"> оціночної </w:t>
      </w:r>
      <w:r>
        <w:rPr>
          <w:rFonts w:ascii="Times New Roman" w:hAnsi="Times New Roman" w:eastAsia="Lucida Sans Unicode"/>
          <w:sz w:val="28"/>
          <w:szCs w:val="28"/>
          <w:lang w:eastAsia="hi-IN" w:bidi="hi-IN"/>
        </w:rPr>
        <w:t xml:space="preserve">діяльності з незалежної оцінки майна комунальної форми власності» </w:t>
      </w:r>
      <w:r>
        <w:rPr>
          <w:rFonts w:ascii="Times New Roman" w:hAnsi="Times New Roman" w:eastAsia="Lucida Sans Unicode"/>
          <w:sz w:val="28"/>
          <w:szCs w:val="28"/>
          <w:lang w:eastAsia="hi-IN" w:bidi="hi-IN"/>
        </w:rPr>
        <w:t xml:space="preserve">вважати таким, що втратило чинність.</w:t>
      </w:r>
      <w:r>
        <w:rPr>
          <w:rFonts w:ascii="Times New Roman" w:hAnsi="Times New Roman" w:eastAsia="Lucida Sans Unicode"/>
          <w:sz w:val="28"/>
          <w:szCs w:val="28"/>
          <w:lang w:eastAsia="hi-IN" w:bidi="hi-IN"/>
        </w:rPr>
      </w:r>
      <w:r>
        <w:rPr>
          <w:rFonts w:ascii="Times New Roman" w:hAnsi="Times New Roman" w:eastAsia="Lucida Sans Unicode"/>
          <w:sz w:val="28"/>
          <w:szCs w:val="28"/>
          <w:lang w:eastAsia="hi-IN" w:bidi="hi-IN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-1" w:firstLine="567" w:left="0"/>
        <w:jc w:val="both"/>
        <w:rPr/>
      </w:pPr>
      <w:r>
        <w:rPr>
          <w:rFonts w:ascii="Times New Roman" w:hAnsi="Times New Roman" w:eastAsia="Times New Roman"/>
          <w:sz w:val="28"/>
          <w:szCs w:val="28"/>
        </w:rPr>
        <w:t xml:space="preserve">6.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Контроль за виконанням рішення покласти на заступника міського голови з питань діяльності виконавчих органів ради відповідно до повноважень згідно розподілу функціональних обов’язків. </w:t>
      </w:r>
      <w:r/>
    </w:p>
    <w:p>
      <w:pPr>
        <w:pStyle w:val="935"/>
        <w:pBdr/>
        <w:tabs>
          <w:tab w:val="left" w:leader="none" w:pos="5954"/>
        </w:tabs>
        <w:spacing w:after="0" w:line="240" w:lineRule="auto"/>
        <w:ind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35"/>
        <w:pBdr/>
        <w:tabs>
          <w:tab w:val="left" w:leader="none" w:pos="5954"/>
        </w:tabs>
        <w:spacing w:after="0" w:line="240" w:lineRule="auto"/>
        <w:ind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Секретар ради </w:t>
      </w:r>
      <w:r>
        <w:rPr>
          <w:rFonts w:ascii="Times New Roman" w:hAnsi="Times New Roman"/>
          <w:sz w:val="28"/>
          <w:szCs w:val="28"/>
        </w:rPr>
        <w:tab/>
        <w:t xml:space="preserve">Юрій СТАЛЬНИЧЕНКО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134" w:right="567" w:bottom="1134" w:left="1701" w:header="284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3030804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5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785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5"/>
      <w:pBdr/>
      <w:spacing/>
      <w:ind/>
      <w:rPr/>
    </w:pPr>
    <w:r>
      <w:t xml:space="preserve">                                                                                               </w:t>
    </w:r>
    <w:r>
      <w:rPr>
        <w:color w:val="000000"/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8150" cy="609600"/>
              <wp:effectExtent l="19050" t="0" r="0" b="0"/>
              <wp:docPr id="1" name="_x0000_i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_x0000_i0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8149" cy="609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50pt;height:48.00pt;mso-wrap-distance-left:0.00pt;mso-wrap-distance-top:0.00pt;mso-wrap-distance-right:0.00pt;mso-wrap-distance-bottom:0.00pt;z-index:1;" stroked="f" strokeweight="0.75pt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927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1069"/>
      </w:pPr>
      <w:rPr>
        <w:rFonts w:ascii="Times New Roman" w:hAnsi="Times New Roman" w:eastAsia="Calibri" w:cs="Times New Roman"/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uk-UA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10">
    <w:name w:val="Plain Table 1"/>
    <w:basedOn w:val="74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Plain Table 2"/>
    <w:basedOn w:val="74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Plain Table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Plain Table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Plain Table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4"/>
    <w:basedOn w:val="74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5 Dark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6 Colorful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7 Colorful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List Table 1 Light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List Table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List Table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List Table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List Table 5 Dark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List Table 6 Colorful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List Table 7 Colorful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paragraph" w:styleId="729">
    <w:name w:val="Heading 1"/>
    <w:basedOn w:val="747"/>
    <w:next w:val="747"/>
    <w:link w:val="758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30">
    <w:name w:val="Heading 2"/>
    <w:basedOn w:val="747"/>
    <w:next w:val="747"/>
    <w:link w:val="76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31">
    <w:name w:val="Heading 3"/>
    <w:basedOn w:val="747"/>
    <w:next w:val="747"/>
    <w:link w:val="76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32">
    <w:name w:val="Heading 4"/>
    <w:basedOn w:val="747"/>
    <w:next w:val="747"/>
    <w:link w:val="76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33">
    <w:name w:val="Heading 5"/>
    <w:basedOn w:val="747"/>
    <w:next w:val="747"/>
    <w:link w:val="76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34">
    <w:name w:val="Heading 6"/>
    <w:basedOn w:val="747"/>
    <w:next w:val="747"/>
    <w:link w:val="768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35">
    <w:name w:val="Heading 7"/>
    <w:basedOn w:val="747"/>
    <w:next w:val="747"/>
    <w:link w:val="770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36">
    <w:name w:val="Heading 8"/>
    <w:basedOn w:val="747"/>
    <w:next w:val="747"/>
    <w:link w:val="772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37">
    <w:name w:val="Heading 9"/>
    <w:basedOn w:val="747"/>
    <w:next w:val="747"/>
    <w:link w:val="774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38">
    <w:name w:val="Intense Emphasis"/>
    <w:basedOn w:val="7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39">
    <w:name w:val="Intense Reference"/>
    <w:basedOn w:val="7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40">
    <w:name w:val="Subtle Emphasis"/>
    <w:basedOn w:val="7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41">
    <w:name w:val="Emphasis"/>
    <w:basedOn w:val="748"/>
    <w:uiPriority w:val="20"/>
    <w:qFormat/>
    <w:pPr>
      <w:pBdr/>
      <w:spacing/>
      <w:ind/>
    </w:pPr>
    <w:rPr>
      <w:i/>
      <w:iCs/>
    </w:rPr>
  </w:style>
  <w:style w:type="character" w:styleId="742">
    <w:name w:val="Strong"/>
    <w:basedOn w:val="748"/>
    <w:uiPriority w:val="22"/>
    <w:qFormat/>
    <w:pPr>
      <w:pBdr/>
      <w:spacing/>
      <w:ind/>
    </w:pPr>
    <w:rPr>
      <w:b/>
      <w:bCs/>
    </w:rPr>
  </w:style>
  <w:style w:type="character" w:styleId="743">
    <w:name w:val="Subtle Reference"/>
    <w:basedOn w:val="7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44">
    <w:name w:val="Book Title"/>
    <w:basedOn w:val="7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745">
    <w:name w:val="Caption"/>
    <w:basedOn w:val="747"/>
    <w:next w:val="74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character" w:styleId="746">
    <w:name w:val="FollowedHyperlink"/>
    <w:basedOn w:val="7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47" w:default="1">
    <w:name w:val="Normal"/>
    <w:qFormat/>
    <w:pPr>
      <w:pBdr/>
      <w:spacing/>
      <w:ind/>
    </w:pPr>
  </w:style>
  <w:style w:type="character" w:styleId="748" w:default="1">
    <w:name w:val="Default Paragraph Font"/>
    <w:uiPriority w:val="1"/>
    <w:semiHidden/>
    <w:unhideWhenUsed/>
    <w:pPr>
      <w:pBdr/>
      <w:spacing/>
      <w:ind/>
    </w:pPr>
  </w:style>
  <w:style w:type="table" w:styleId="749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50" w:default="1">
    <w:name w:val="No List"/>
    <w:uiPriority w:val="99"/>
    <w:semiHidden/>
    <w:unhideWhenUsed/>
    <w:pPr>
      <w:pBdr/>
      <w:spacing/>
      <w:ind/>
    </w:pPr>
  </w:style>
  <w:style w:type="character" w:styleId="751" w:customStyle="1">
    <w:name w:val="Title Char"/>
    <w:basedOn w:val="748"/>
    <w:uiPriority w:val="10"/>
    <w:pPr>
      <w:pBdr/>
      <w:spacing/>
      <w:ind/>
    </w:pPr>
    <w:rPr>
      <w:sz w:val="48"/>
      <w:szCs w:val="48"/>
    </w:rPr>
  </w:style>
  <w:style w:type="character" w:styleId="752" w:customStyle="1">
    <w:name w:val="Subtitle Char"/>
    <w:basedOn w:val="748"/>
    <w:uiPriority w:val="11"/>
    <w:pPr>
      <w:pBdr/>
      <w:spacing/>
      <w:ind/>
    </w:pPr>
    <w:rPr>
      <w:sz w:val="24"/>
      <w:szCs w:val="24"/>
    </w:rPr>
  </w:style>
  <w:style w:type="character" w:styleId="753" w:customStyle="1">
    <w:name w:val="Quote Char"/>
    <w:uiPriority w:val="29"/>
    <w:pPr>
      <w:pBdr/>
      <w:spacing/>
      <w:ind/>
    </w:pPr>
    <w:rPr>
      <w:i/>
    </w:rPr>
  </w:style>
  <w:style w:type="character" w:styleId="754" w:customStyle="1">
    <w:name w:val="Intense Quote Char"/>
    <w:uiPriority w:val="30"/>
    <w:pPr>
      <w:pBdr/>
      <w:spacing/>
      <w:ind/>
    </w:pPr>
    <w:rPr>
      <w:i/>
    </w:rPr>
  </w:style>
  <w:style w:type="character" w:styleId="755" w:customStyle="1">
    <w:name w:val="Footnote Text Char"/>
    <w:uiPriority w:val="99"/>
    <w:pPr>
      <w:pBdr/>
      <w:spacing/>
      <w:ind/>
    </w:pPr>
    <w:rPr>
      <w:sz w:val="18"/>
    </w:rPr>
  </w:style>
  <w:style w:type="character" w:styleId="756" w:customStyle="1">
    <w:name w:val="Endnote Text Char"/>
    <w:uiPriority w:val="99"/>
    <w:pPr>
      <w:pBdr/>
      <w:spacing/>
      <w:ind/>
    </w:pPr>
    <w:rPr>
      <w:sz w:val="20"/>
    </w:rPr>
  </w:style>
  <w:style w:type="paragraph" w:styleId="757" w:customStyle="1">
    <w:name w:val="Заголовок 11"/>
    <w:link w:val="758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758" w:customStyle="1">
    <w:name w:val="Heading 1 Char"/>
    <w:link w:val="757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759" w:customStyle="1">
    <w:name w:val="Заголовок 21"/>
    <w:link w:val="760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760" w:customStyle="1">
    <w:name w:val="Heading 2 Char"/>
    <w:link w:val="759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61" w:customStyle="1">
    <w:name w:val="Заголовок 31"/>
    <w:link w:val="762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62" w:customStyle="1">
    <w:name w:val="Heading 3 Char"/>
    <w:link w:val="761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63" w:customStyle="1">
    <w:name w:val="Заголовок 41"/>
    <w:link w:val="764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64" w:customStyle="1">
    <w:name w:val="Heading 4 Char"/>
    <w:link w:val="763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65" w:customStyle="1">
    <w:name w:val="Заголовок 51"/>
    <w:link w:val="766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66" w:customStyle="1">
    <w:name w:val="Heading 5 Char"/>
    <w:link w:val="765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67" w:customStyle="1">
    <w:name w:val="Заголовок 61"/>
    <w:link w:val="768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68" w:customStyle="1">
    <w:name w:val="Heading 6 Char"/>
    <w:link w:val="767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69" w:customStyle="1">
    <w:name w:val="Заголовок 71"/>
    <w:link w:val="770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0" w:customStyle="1">
    <w:name w:val="Heading 7 Char"/>
    <w:link w:val="769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71" w:customStyle="1">
    <w:name w:val="Заголовок 81"/>
    <w:link w:val="772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72" w:customStyle="1">
    <w:name w:val="Heading 8 Char"/>
    <w:link w:val="771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73" w:customStyle="1">
    <w:name w:val="Заголовок 91"/>
    <w:link w:val="774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4" w:customStyle="1">
    <w:name w:val="Heading 9 Char"/>
    <w:link w:val="773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75">
    <w:name w:val="List Paragraph"/>
    <w:uiPriority w:val="34"/>
    <w:qFormat/>
    <w:pPr>
      <w:pBdr/>
      <w:spacing/>
      <w:ind w:left="720"/>
      <w:contextualSpacing w:val="true"/>
    </w:pPr>
  </w:style>
  <w:style w:type="paragraph" w:styleId="776">
    <w:name w:val="No Spacing"/>
    <w:uiPriority w:val="1"/>
    <w:qFormat/>
    <w:pPr>
      <w:pBdr/>
      <w:spacing/>
      <w:ind/>
    </w:pPr>
  </w:style>
  <w:style w:type="paragraph" w:styleId="777">
    <w:name w:val="Title"/>
    <w:link w:val="778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78" w:customStyle="1">
    <w:name w:val="Назва Знак"/>
    <w:link w:val="777"/>
    <w:uiPriority w:val="10"/>
    <w:pPr>
      <w:pBdr/>
      <w:spacing/>
      <w:ind/>
    </w:pPr>
    <w:rPr>
      <w:sz w:val="48"/>
      <w:szCs w:val="48"/>
    </w:rPr>
  </w:style>
  <w:style w:type="paragraph" w:styleId="779">
    <w:name w:val="Subtitle"/>
    <w:link w:val="780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80" w:customStyle="1">
    <w:name w:val="Підзаголовок Знак"/>
    <w:link w:val="779"/>
    <w:uiPriority w:val="11"/>
    <w:pPr>
      <w:pBdr/>
      <w:spacing/>
      <w:ind/>
    </w:pPr>
    <w:rPr>
      <w:sz w:val="24"/>
      <w:szCs w:val="24"/>
    </w:rPr>
  </w:style>
  <w:style w:type="paragraph" w:styleId="781">
    <w:name w:val="Quote"/>
    <w:link w:val="782"/>
    <w:uiPriority w:val="29"/>
    <w:qFormat/>
    <w:pPr>
      <w:pBdr/>
      <w:spacing/>
      <w:ind w:right="720" w:left="720"/>
    </w:pPr>
    <w:rPr>
      <w:i/>
    </w:rPr>
  </w:style>
  <w:style w:type="character" w:styleId="782" w:customStyle="1">
    <w:name w:val="Цитата Знак"/>
    <w:link w:val="781"/>
    <w:uiPriority w:val="29"/>
    <w:pPr>
      <w:pBdr/>
      <w:spacing/>
      <w:ind/>
    </w:pPr>
    <w:rPr>
      <w:i/>
    </w:rPr>
  </w:style>
  <w:style w:type="paragraph" w:styleId="783">
    <w:name w:val="Intense Quote"/>
    <w:link w:val="784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84" w:customStyle="1">
    <w:name w:val="Насичена цитата Знак"/>
    <w:link w:val="783"/>
    <w:uiPriority w:val="30"/>
    <w:pPr>
      <w:pBdr/>
      <w:spacing/>
      <w:ind/>
    </w:pPr>
    <w:rPr>
      <w:i/>
    </w:rPr>
  </w:style>
  <w:style w:type="paragraph" w:styleId="785" w:customStyle="1">
    <w:name w:val="Верхній колонтитул1"/>
    <w:link w:val="786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86" w:customStyle="1">
    <w:name w:val="Header Char"/>
    <w:link w:val="785"/>
    <w:uiPriority w:val="99"/>
    <w:pPr>
      <w:pBdr/>
      <w:spacing/>
      <w:ind/>
    </w:pPr>
  </w:style>
  <w:style w:type="paragraph" w:styleId="787" w:customStyle="1">
    <w:name w:val="Нижній колонтитул1"/>
    <w:link w:val="790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88" w:customStyle="1">
    <w:name w:val="Footer Char"/>
    <w:uiPriority w:val="99"/>
    <w:pPr>
      <w:pBdr/>
      <w:spacing/>
      <w:ind/>
    </w:pPr>
  </w:style>
  <w:style w:type="paragraph" w:styleId="789" w:customStyle="1">
    <w:name w:val="Назва об'єкта1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90" w:customStyle="1">
    <w:name w:val="Caption Char"/>
    <w:link w:val="787"/>
    <w:uiPriority w:val="99"/>
    <w:pPr>
      <w:pBdr/>
      <w:spacing/>
      <w:ind/>
    </w:pPr>
  </w:style>
  <w:style w:type="table" w:styleId="791">
    <w:name w:val="Table Grid"/>
    <w:uiPriority w:val="59"/>
    <w:pPr>
      <w:pBdr/>
      <w:spacing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Table Grid Light"/>
    <w:uiPriority w:val="59"/>
    <w:pPr>
      <w:pBdr/>
      <w:spacing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Звичайна таблиця 11"/>
    <w:uiPriority w:val="59"/>
    <w:pPr>
      <w:pBdr/>
      <w:spacing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Звичайна таблиця 21"/>
    <w:uiPriority w:val="59"/>
    <w:pPr>
      <w:pBdr/>
      <w:spacing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Звичайна таблиця 31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Звичайна таблиця 41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Звичайна таблиця 51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Таблиця-сітка 1 (світла)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1 Light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1 Light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1 Light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1 Light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1 Light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1 Light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Таблиця-сітка 2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2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2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2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2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2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2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Таблиця-сітка 3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3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3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3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3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3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3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Таблиця-сітка 41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4 - Accent 1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4 - Accent 2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4 - Accent 3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4 - Accent 4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4 - Accent 5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4 - Accent 6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Таблиця-сітка 5 (темна)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5 Dark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5 Dark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5 Dark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5 Dark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5 Dark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5 Dark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Таблиця-сітка 6 (кольорова)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6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6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6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6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6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6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Таблиця-сітка 7 (кольорова)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7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7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7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7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7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7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Таблиця-список 1 (світлий)1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1 Light - Accent 1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1 Light - Accent 2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1 Light - Accent 3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1 Light - Accent 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1 Light - Accent 5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1 Light - Accent 6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Таблиця-список 2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2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2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2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2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2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2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Таблиця-список 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3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3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3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3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3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3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Таблиця-список 4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4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4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4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4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4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4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Таблиця-список 5 (темний)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5 Dark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5 Dark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5 Dark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5 Dark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5 Dark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5 Dark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Таблиця-список 6 (кольоровий)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6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6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6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6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6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6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Таблиця-список 7 (кольоровий)1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7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7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7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7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7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7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ned - Accent"/>
    <w:uiPriority w:val="99"/>
    <w:pPr>
      <w:pBdr/>
      <w:spacing/>
      <w:ind/>
    </w:pPr>
    <w:rPr>
      <w:color w:val="404040"/>
      <w:lang w:val="ru-RU" w:eastAsia="ru-RU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ned - Accent 1"/>
    <w:uiPriority w:val="99"/>
    <w:pPr>
      <w:pBdr/>
      <w:spacing/>
      <w:ind/>
    </w:pPr>
    <w:rPr>
      <w:color w:val="404040"/>
      <w:lang w:val="ru-RU" w:eastAsia="ru-RU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ned - Accent 2"/>
    <w:uiPriority w:val="99"/>
    <w:pPr>
      <w:pBdr/>
      <w:spacing/>
      <w:ind/>
    </w:pPr>
    <w:rPr>
      <w:color w:val="404040"/>
      <w:lang w:val="ru-RU" w:eastAsia="ru-RU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ned - Accent 3"/>
    <w:uiPriority w:val="99"/>
    <w:pPr>
      <w:pBdr/>
      <w:spacing/>
      <w:ind/>
    </w:pPr>
    <w:rPr>
      <w:color w:val="404040"/>
      <w:lang w:val="ru-RU" w:eastAsia="ru-RU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ned - Accent 4"/>
    <w:uiPriority w:val="99"/>
    <w:pPr>
      <w:pBdr/>
      <w:spacing/>
      <w:ind/>
    </w:pPr>
    <w:rPr>
      <w:color w:val="404040"/>
      <w:lang w:val="ru-RU" w:eastAsia="ru-RU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ned - Accent 5"/>
    <w:uiPriority w:val="99"/>
    <w:pPr>
      <w:pBdr/>
      <w:spacing/>
      <w:ind/>
    </w:pPr>
    <w:rPr>
      <w:color w:val="404040"/>
      <w:lang w:val="ru-RU" w:eastAsia="ru-RU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ned - Accent 6"/>
    <w:uiPriority w:val="99"/>
    <w:pPr>
      <w:pBdr/>
      <w:spacing/>
      <w:ind/>
    </w:pPr>
    <w:rPr>
      <w:color w:val="404040"/>
      <w:lang w:val="ru-RU" w:eastAsia="ru-RU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Bordered &amp; Lined - Accent"/>
    <w:uiPriority w:val="99"/>
    <w:pPr>
      <w:pBdr/>
      <w:spacing/>
      <w:ind/>
    </w:pPr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&amp; Lined - Accent 1"/>
    <w:uiPriority w:val="99"/>
    <w:pPr>
      <w:pBdr/>
      <w:spacing/>
      <w:ind/>
    </w:pPr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&amp; Lined - Accent 2"/>
    <w:uiPriority w:val="99"/>
    <w:pPr>
      <w:pBdr/>
      <w:spacing/>
      <w:ind/>
    </w:pPr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&amp; Lined - Accent 3"/>
    <w:uiPriority w:val="99"/>
    <w:pPr>
      <w:pBdr/>
      <w:spacing/>
      <w:ind/>
    </w:pPr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 &amp; Lined - Accent 4"/>
    <w:uiPriority w:val="99"/>
    <w:pPr>
      <w:pBdr/>
      <w:spacing/>
      <w:ind/>
    </w:pPr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 &amp; Lined - Accent 5"/>
    <w:uiPriority w:val="99"/>
    <w:pPr>
      <w:pBdr/>
      <w:spacing/>
      <w:ind/>
    </w:pPr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 &amp; Lined - Accent 6"/>
    <w:uiPriority w:val="99"/>
    <w:pPr>
      <w:pBdr/>
      <w:spacing/>
      <w:ind/>
    </w:pPr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Bordered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Bordered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Bordered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17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18">
    <w:name w:val="footnote text"/>
    <w:link w:val="919"/>
    <w:uiPriority w:val="99"/>
    <w:semiHidden/>
    <w:unhideWhenUsed/>
    <w:pPr>
      <w:pBdr/>
      <w:spacing w:after="40"/>
      <w:ind/>
    </w:pPr>
    <w:rPr>
      <w:sz w:val="18"/>
    </w:rPr>
  </w:style>
  <w:style w:type="character" w:styleId="919" w:customStyle="1">
    <w:name w:val="Текст виноски Знак"/>
    <w:link w:val="918"/>
    <w:uiPriority w:val="99"/>
    <w:pPr>
      <w:pBdr/>
      <w:spacing/>
      <w:ind/>
    </w:pPr>
    <w:rPr>
      <w:sz w:val="18"/>
    </w:rPr>
  </w:style>
  <w:style w:type="character" w:styleId="920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921">
    <w:name w:val="endnote text"/>
    <w:link w:val="922"/>
    <w:uiPriority w:val="99"/>
    <w:semiHidden/>
    <w:unhideWhenUsed/>
    <w:pPr>
      <w:pBdr/>
      <w:spacing/>
      <w:ind/>
    </w:pPr>
  </w:style>
  <w:style w:type="character" w:styleId="922" w:customStyle="1">
    <w:name w:val="Текст кінцевої виноски Знак"/>
    <w:link w:val="921"/>
    <w:uiPriority w:val="99"/>
    <w:pPr>
      <w:pBdr/>
      <w:spacing/>
      <w:ind/>
    </w:pPr>
    <w:rPr>
      <w:sz w:val="20"/>
    </w:rPr>
  </w:style>
  <w:style w:type="character" w:styleId="923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924">
    <w:name w:val="toc 1"/>
    <w:uiPriority w:val="39"/>
    <w:unhideWhenUsed/>
    <w:pPr>
      <w:pBdr/>
      <w:spacing w:after="57"/>
      <w:ind/>
    </w:pPr>
  </w:style>
  <w:style w:type="paragraph" w:styleId="925">
    <w:name w:val="toc 2"/>
    <w:uiPriority w:val="39"/>
    <w:unhideWhenUsed/>
    <w:pPr>
      <w:pBdr/>
      <w:spacing w:after="57"/>
      <w:ind w:left="283"/>
    </w:pPr>
  </w:style>
  <w:style w:type="paragraph" w:styleId="926">
    <w:name w:val="toc 3"/>
    <w:uiPriority w:val="39"/>
    <w:unhideWhenUsed/>
    <w:pPr>
      <w:pBdr/>
      <w:spacing w:after="57"/>
      <w:ind w:left="567"/>
    </w:pPr>
  </w:style>
  <w:style w:type="paragraph" w:styleId="927">
    <w:name w:val="toc 4"/>
    <w:uiPriority w:val="39"/>
    <w:unhideWhenUsed/>
    <w:pPr>
      <w:pBdr/>
      <w:spacing w:after="57"/>
      <w:ind w:left="850"/>
    </w:pPr>
  </w:style>
  <w:style w:type="paragraph" w:styleId="928">
    <w:name w:val="toc 5"/>
    <w:uiPriority w:val="39"/>
    <w:unhideWhenUsed/>
    <w:pPr>
      <w:pBdr/>
      <w:spacing w:after="57"/>
      <w:ind w:left="1134"/>
    </w:pPr>
  </w:style>
  <w:style w:type="paragraph" w:styleId="929">
    <w:name w:val="toc 6"/>
    <w:uiPriority w:val="39"/>
    <w:unhideWhenUsed/>
    <w:pPr>
      <w:pBdr/>
      <w:spacing w:after="57"/>
      <w:ind w:left="1417"/>
    </w:pPr>
  </w:style>
  <w:style w:type="paragraph" w:styleId="930">
    <w:name w:val="toc 7"/>
    <w:uiPriority w:val="39"/>
    <w:unhideWhenUsed/>
    <w:pPr>
      <w:pBdr/>
      <w:spacing w:after="57"/>
      <w:ind w:left="1701"/>
    </w:pPr>
  </w:style>
  <w:style w:type="paragraph" w:styleId="931">
    <w:name w:val="toc 8"/>
    <w:uiPriority w:val="39"/>
    <w:unhideWhenUsed/>
    <w:pPr>
      <w:pBdr/>
      <w:spacing w:after="57"/>
      <w:ind w:left="1984"/>
    </w:pPr>
  </w:style>
  <w:style w:type="paragraph" w:styleId="932">
    <w:name w:val="toc 9"/>
    <w:uiPriority w:val="39"/>
    <w:unhideWhenUsed/>
    <w:pPr>
      <w:pBdr/>
      <w:spacing w:after="57"/>
      <w:ind w:left="2268"/>
    </w:pPr>
  </w:style>
  <w:style w:type="paragraph" w:styleId="933">
    <w:name w:val="TOC Heading"/>
    <w:uiPriority w:val="39"/>
    <w:unhideWhenUsed/>
    <w:pPr>
      <w:pBdr/>
      <w:spacing/>
      <w:ind/>
    </w:pPr>
  </w:style>
  <w:style w:type="paragraph" w:styleId="934">
    <w:name w:val="table of figures"/>
    <w:uiPriority w:val="99"/>
    <w:unhideWhenUsed/>
    <w:pPr>
      <w:pBdr/>
      <w:spacing/>
      <w:ind/>
    </w:pPr>
  </w:style>
  <w:style w:type="paragraph" w:styleId="935" w:customStyle="1">
    <w:name w:val="Звичайний1"/>
    <w:link w:val="935"/>
    <w:pPr>
      <w:pBdr/>
      <w:spacing w:after="200" w:line="276" w:lineRule="auto"/>
      <w:ind/>
    </w:pPr>
    <w:rPr>
      <w:sz w:val="22"/>
      <w:szCs w:val="22"/>
      <w:lang w:eastAsia="en-US"/>
    </w:rPr>
  </w:style>
  <w:style w:type="character" w:styleId="936" w:customStyle="1">
    <w:name w:val="Шрифт абзацу за замовчуванням1"/>
    <w:semiHidden/>
    <w:pPr>
      <w:pBdr/>
      <w:spacing/>
      <w:ind/>
    </w:pPr>
  </w:style>
  <w:style w:type="table" w:styleId="937" w:customStyle="1">
    <w:name w:val="Звичайна таблиця1"/>
    <w:semiHidden/>
    <w:pPr>
      <w:pBdr/>
      <w:spacing/>
      <w:ind/>
    </w:p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38" w:customStyle="1">
    <w:name w:val="Немає списку1"/>
    <w:semiHidden/>
    <w:pPr>
      <w:pBdr/>
      <w:spacing/>
      <w:ind/>
    </w:pPr>
  </w:style>
  <w:style w:type="paragraph" w:styleId="939" w:customStyle="1">
    <w:name w:val="Без інтервалів1"/>
    <w:pPr>
      <w:pBdr/>
      <w:spacing/>
      <w:ind/>
    </w:pPr>
    <w:rPr>
      <w:sz w:val="22"/>
      <w:szCs w:val="22"/>
      <w:lang w:eastAsia="en-US"/>
    </w:rPr>
  </w:style>
  <w:style w:type="paragraph" w:styleId="940" w:customStyle="1">
    <w:name w:val="Текст у виносці1"/>
    <w:basedOn w:val="935"/>
    <w:link w:val="941"/>
    <w:semiHidden/>
    <w:pPr>
      <w:pBdr/>
      <w:spacing w:after="0" w:line="240" w:lineRule="auto"/>
      <w:ind/>
    </w:pPr>
    <w:rPr>
      <w:rFonts w:ascii="Tahoma" w:hAnsi="Tahoma"/>
      <w:sz w:val="16"/>
      <w:szCs w:val="16"/>
    </w:rPr>
  </w:style>
  <w:style w:type="character" w:styleId="941" w:customStyle="1">
    <w:name w:val="Текст у виносці Знак"/>
    <w:link w:val="940"/>
    <w:semiHidden/>
    <w:pPr>
      <w:pBdr/>
      <w:spacing/>
      <w:ind/>
    </w:pPr>
    <w:rPr>
      <w:rFonts w:ascii="Tahoma" w:hAnsi="Tahoma" w:eastAsia="Calibri"/>
      <w:sz w:val="16"/>
      <w:szCs w:val="16"/>
      <w:lang w:val="uk-UA"/>
    </w:rPr>
  </w:style>
  <w:style w:type="paragraph" w:styleId="942" w:customStyle="1">
    <w:name w:val="Верхній колонтитул2"/>
    <w:basedOn w:val="935"/>
    <w:link w:val="943"/>
    <w:semiHidden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43" w:customStyle="1">
    <w:name w:val="Верхній колонтитул Знак"/>
    <w:link w:val="942"/>
    <w:semiHidden/>
    <w:pPr>
      <w:pBdr/>
      <w:spacing/>
      <w:ind/>
    </w:pPr>
    <w:rPr>
      <w:sz w:val="22"/>
      <w:szCs w:val="22"/>
      <w:lang w:val="uk-UA" w:eastAsia="en-US"/>
    </w:rPr>
  </w:style>
  <w:style w:type="paragraph" w:styleId="944" w:customStyle="1">
    <w:name w:val="Нижній колонтитул2"/>
    <w:basedOn w:val="935"/>
    <w:link w:val="945"/>
    <w:semiHidden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45" w:customStyle="1">
    <w:name w:val="Нижній колонтитул Знак"/>
    <w:link w:val="944"/>
    <w:semiHidden/>
    <w:pPr>
      <w:pBdr/>
      <w:spacing/>
      <w:ind/>
    </w:pPr>
    <w:rPr>
      <w:sz w:val="22"/>
      <w:szCs w:val="22"/>
      <w:lang w:val="uk-UA" w:eastAsia="en-US"/>
    </w:rPr>
  </w:style>
  <w:style w:type="paragraph" w:styleId="946">
    <w:name w:val="Balloon Text"/>
    <w:basedOn w:val="747"/>
    <w:link w:val="947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947" w:customStyle="1">
    <w:name w:val="Текст у виносці Знак1"/>
    <w:basedOn w:val="748"/>
    <w:link w:val="946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48">
    <w:name w:val="Header"/>
    <w:basedOn w:val="747"/>
    <w:link w:val="949"/>
    <w:uiPriority w:val="99"/>
    <w:unhideWhenUsed/>
    <w:pPr>
      <w:pBdr/>
      <w:tabs>
        <w:tab w:val="center" w:leader="none" w:pos="4819"/>
        <w:tab w:val="right" w:leader="none" w:pos="9639"/>
      </w:tabs>
      <w:spacing/>
      <w:ind/>
    </w:pPr>
  </w:style>
  <w:style w:type="character" w:styleId="949" w:customStyle="1">
    <w:name w:val="Верхній колонтитул Знак1"/>
    <w:basedOn w:val="748"/>
    <w:link w:val="948"/>
    <w:uiPriority w:val="99"/>
    <w:pPr>
      <w:pBdr/>
      <w:spacing/>
      <w:ind/>
    </w:pPr>
  </w:style>
  <w:style w:type="paragraph" w:styleId="950">
    <w:name w:val="Footer"/>
    <w:basedOn w:val="747"/>
    <w:link w:val="951"/>
    <w:uiPriority w:val="99"/>
    <w:unhideWhenUsed/>
    <w:pPr>
      <w:pBdr/>
      <w:tabs>
        <w:tab w:val="center" w:leader="none" w:pos="4819"/>
        <w:tab w:val="right" w:leader="none" w:pos="9639"/>
      </w:tabs>
      <w:spacing/>
      <w:ind/>
    </w:pPr>
  </w:style>
  <w:style w:type="character" w:styleId="951" w:customStyle="1">
    <w:name w:val="Нижній колонтитул Знак1"/>
    <w:basedOn w:val="748"/>
    <w:link w:val="950"/>
    <w:uiPriority w:val="9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8587770-005D-4BA7-BFE1-C233C686E83F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СТАРОДУБ Людмила Олександрівна</cp:lastModifiedBy>
  <cp:revision>22</cp:revision>
  <dcterms:created xsi:type="dcterms:W3CDTF">2025-01-17T06:57:00Z</dcterms:created>
  <dcterms:modified xsi:type="dcterms:W3CDTF">2026-07-31T11:33:08Z</dcterms:modified>
</cp:coreProperties>
</file>