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66"/>
        <w:pBdr/>
        <w:shd w:val="clear" w:color="auto" w:fill="ffffff"/>
        <w:spacing/>
        <w:ind w:firstLine="5103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До</w:t>
      </w:r>
      <w:r>
        <w:rPr>
          <w:sz w:val="28"/>
          <w:szCs w:val="28"/>
          <w:lang w:val="uk-UA"/>
        </w:rPr>
        <w:t xml:space="preserve">даток 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66"/>
        <w:pBdr/>
        <w:shd w:val="clear" w:color="auto" w:fill="ffffff"/>
        <w:spacing/>
        <w:ind w:firstLine="5103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до рішення виконавчого комітету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66"/>
        <w:pBdr/>
        <w:shd w:val="clear" w:color="auto" w:fill="ffffff"/>
        <w:spacing/>
        <w:ind w:firstLine="510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Менської міської ради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66"/>
        <w:pBdr/>
        <w:spacing/>
        <w:ind w:firstLine="5103"/>
        <w:rPr>
          <w:bCs/>
          <w:sz w:val="28"/>
          <w:szCs w:val="28"/>
          <w:u w:val="single"/>
          <w:lang w:val="uk-UA"/>
        </w:rPr>
      </w:pPr>
      <w:r>
        <w:rPr>
          <w:bCs/>
          <w:sz w:val="28"/>
          <w:szCs w:val="28"/>
          <w:lang w:val="uk-UA"/>
        </w:rPr>
        <w:t xml:space="preserve">28 липня</w:t>
      </w:r>
      <w:r>
        <w:rPr>
          <w:bCs/>
          <w:sz w:val="28"/>
          <w:szCs w:val="28"/>
          <w:lang w:val="uk-UA"/>
        </w:rPr>
        <w:t xml:space="preserve"> 202</w:t>
      </w:r>
      <w:r>
        <w:rPr>
          <w:bCs/>
          <w:sz w:val="28"/>
          <w:szCs w:val="28"/>
          <w:lang w:val="uk-UA"/>
        </w:rPr>
        <w:t xml:space="preserve">6</w:t>
      </w:r>
      <w:r>
        <w:rPr>
          <w:bCs/>
          <w:sz w:val="28"/>
          <w:szCs w:val="28"/>
          <w:lang w:val="uk-UA"/>
        </w:rPr>
        <w:t xml:space="preserve"> року № 137</w:t>
      </w:r>
      <w:r>
        <w:rPr>
          <w:bCs/>
          <w:sz w:val="28"/>
          <w:szCs w:val="28"/>
          <w:u w:val="single"/>
          <w:lang w:val="uk-UA"/>
        </w:rPr>
      </w:r>
      <w:r>
        <w:rPr>
          <w:bCs/>
          <w:sz w:val="28"/>
          <w:szCs w:val="28"/>
          <w:u w:val="single"/>
          <w:lang w:val="uk-UA"/>
        </w:rPr>
      </w:r>
    </w:p>
    <w:p>
      <w:pPr>
        <w:pStyle w:val="866"/>
        <w:pBdr/>
        <w:shd w:val="clear" w:color="auto" w:fill="ffffff"/>
        <w:spacing/>
        <w:ind w:firstLine="510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66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Умови оренди </w:t>
      </w:r>
      <w:r>
        <w:rPr>
          <w:sz w:val="28"/>
          <w:szCs w:val="28"/>
          <w:lang w:val="uk-UA"/>
        </w:rPr>
        <w:t xml:space="preserve">полів фільтрації 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66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(фільтраційно-збагачувальних ставків № 1 і № 2)</w:t>
      </w:r>
      <w:r>
        <w:rPr>
          <w:bCs/>
          <w:sz w:val="28"/>
          <w:szCs w:val="28"/>
          <w:lang w:val="uk-UA"/>
        </w:rPr>
        <w:t xml:space="preserve">,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66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tbl>
      <w:tblPr>
        <w:tblW w:w="9639" w:type="dxa"/>
        <w:tblInd w:w="2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0A0" w:firstRow="1" w:lastRow="0" w:firstColumn="1" w:lastColumn="0" w:noHBand="0" w:noVBand="0"/>
      </w:tblPr>
      <w:tblGrid>
        <w:gridCol w:w="3686"/>
        <w:gridCol w:w="5953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Назва об’єкта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</w:t>
            </w:r>
            <w:r>
              <w:rPr>
                <w:sz w:val="28"/>
                <w:szCs w:val="28"/>
                <w:lang w:val="uk-UA"/>
              </w:rPr>
              <w:t xml:space="preserve">ол</w:t>
            </w:r>
            <w:r>
              <w:rPr>
                <w:sz w:val="28"/>
                <w:szCs w:val="28"/>
                <w:lang w:val="uk-UA"/>
              </w:rPr>
              <w:t xml:space="preserve">я</w:t>
            </w:r>
            <w:r>
              <w:rPr>
                <w:sz w:val="28"/>
                <w:szCs w:val="28"/>
                <w:lang w:val="uk-UA"/>
              </w:rPr>
              <w:t xml:space="preserve"> фільтрації (фільтраційно-збагачувальн</w:t>
            </w:r>
            <w:r>
              <w:rPr>
                <w:sz w:val="28"/>
                <w:szCs w:val="28"/>
                <w:lang w:val="uk-UA"/>
              </w:rPr>
              <w:t xml:space="preserve">і</w:t>
            </w:r>
            <w:r>
              <w:rPr>
                <w:sz w:val="28"/>
                <w:szCs w:val="28"/>
                <w:lang w:val="uk-UA"/>
              </w:rPr>
              <w:t xml:space="preserve"> ставк</w:t>
            </w:r>
            <w:r>
              <w:rPr>
                <w:sz w:val="28"/>
                <w:szCs w:val="28"/>
                <w:lang w:val="uk-UA"/>
              </w:rPr>
              <w:t xml:space="preserve">и</w:t>
            </w:r>
            <w:r>
              <w:rPr>
                <w:sz w:val="28"/>
                <w:szCs w:val="28"/>
                <w:lang w:val="uk-UA"/>
              </w:rPr>
              <w:t xml:space="preserve"> № 1 і № 2)</w:t>
            </w:r>
            <w:r>
              <w:rPr>
                <w:bCs/>
                <w:sz w:val="28"/>
                <w:szCs w:val="28"/>
                <w:lang w:val="uk-UA"/>
              </w:rPr>
              <w:t xml:space="preserve"> 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Орендодавець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Менська</w:t>
            </w:r>
            <w:r>
              <w:rPr>
                <w:lang w:val="uk-UA"/>
              </w:rPr>
              <w:t xml:space="preserve"> міська рада, код ЄДРПОУ </w:t>
            </w:r>
            <w:r>
              <w:rPr>
                <w:lang w:val="uk-UA"/>
              </w:rPr>
              <w:t xml:space="preserve">04061777</w:t>
            </w:r>
            <w:r>
              <w:rPr>
                <w:lang w:val="uk-UA"/>
              </w:rPr>
              <w:t xml:space="preserve">, вул</w:t>
            </w:r>
            <w:r>
              <w:rPr>
                <w:lang w:val="uk-UA"/>
              </w:rPr>
              <w:t xml:space="preserve">иця</w:t>
            </w:r>
            <w:r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Героїв АТО</w:t>
            </w:r>
            <w:r>
              <w:rPr>
                <w:lang w:val="uk-UA"/>
              </w:rPr>
              <w:t xml:space="preserve">, буд</w:t>
            </w:r>
            <w:r>
              <w:rPr>
                <w:lang w:val="uk-UA"/>
              </w:rPr>
              <w:t xml:space="preserve">инок</w:t>
            </w:r>
            <w:r>
              <w:rPr>
                <w:lang w:val="uk-UA"/>
              </w:rPr>
              <w:t xml:space="preserve"> 6, м</w:t>
            </w:r>
            <w:r>
              <w:rPr>
                <w:lang w:val="uk-UA"/>
              </w:rPr>
              <w:t xml:space="preserve">істо</w:t>
            </w:r>
            <w:r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Мена</w:t>
            </w:r>
            <w:r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Корюківський район </w:t>
            </w:r>
            <w:r>
              <w:rPr>
                <w:lang w:val="uk-UA"/>
              </w:rPr>
              <w:t xml:space="preserve">Чернігівська область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Балансоутримувач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Менська міська рада, код ЄДРПОУ 04061777, вулиця Героїв АТО, будинок 6, місто Мена Корюківський район Чернігівська область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Контактні дані працівника, відповідального за ознайомлення  з об’єктом оренди та час і місце проведення  огляду об’єкту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Марцева Тетяна Іванівна</w:t>
            </w:r>
            <w:r>
              <w:rPr>
                <w:lang w:val="uk-UA"/>
              </w:rPr>
              <w:t xml:space="preserve">, тел. </w:t>
            </w:r>
            <w:r>
              <w:rPr>
                <w:lang w:val="uk-UA"/>
              </w:rPr>
              <w:t xml:space="preserve">0500722685</w:t>
            </w:r>
            <w:r>
              <w:rPr>
                <w:lang w:val="uk-UA"/>
              </w:rPr>
              <w:t xml:space="preserve">,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en-US"/>
              </w:rPr>
              <w:t xml:space="preserve">e</w:t>
            </w:r>
            <w:r>
              <w:t xml:space="preserve">-</w:t>
            </w:r>
            <w:r>
              <w:rPr>
                <w:lang w:val="en-US"/>
              </w:rPr>
              <w:t xml:space="preserve">mail</w:t>
            </w:r>
            <w:r>
              <w:rPr>
                <w:lang w:val="uk-UA"/>
              </w:rPr>
              <w:t xml:space="preserve">: </w:t>
            </w:r>
            <w:r>
              <w:fldChar w:fldCharType="begin"/>
            </w:r>
            <w:r>
              <w:instrText xml:space="preserve">HYPERLINK "mailto:zamyurradamena@cg.gov.ua"</w:instrText>
            </w:r>
            <w:r>
              <w:fldChar w:fldCharType="separate"/>
            </w:r>
            <w:r>
              <w:rPr>
                <w:rStyle w:val="870"/>
                <w:color w:val="000000"/>
                <w:shd w:val="clear" w:color="auto" w:fill="ffffff"/>
                <w:lang w:val="en-US"/>
              </w:rPr>
              <w:t xml:space="preserve">zam</w:t>
            </w:r>
            <w:r>
              <w:rPr>
                <w:rStyle w:val="870"/>
                <w:color w:val="000000"/>
                <w:shd w:val="clear" w:color="auto" w:fill="ffffff"/>
              </w:rPr>
              <w:t xml:space="preserve">yurradamena@cg.gov.ua</w:t>
            </w:r>
            <w:r>
              <w:fldChar w:fldCharType="end"/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У робочі дні з 8.00 до 16.00, обідня перерва з 13.00 до 14.00</w:t>
            </w:r>
            <w:r>
              <w:rPr>
                <w:lang w:val="uk-UA"/>
              </w:rPr>
              <w:t xml:space="preserve">. В</w:t>
            </w:r>
            <w:r>
              <w:rPr>
                <w:lang w:val="uk-UA"/>
              </w:rPr>
              <w:t xml:space="preserve">улиця Єдності, 19 місто Мена Корюківського </w:t>
            </w:r>
            <w:r>
              <w:rPr>
                <w:bCs/>
                <w:lang w:val="uk-UA"/>
              </w:rPr>
              <w:t xml:space="preserve">району Чернігівської області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39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 w:firstLine="2869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Інформація про об’єкт оренди </w:t>
            </w:r>
            <w:r>
              <w:rPr>
                <w:sz w:val="22"/>
                <w:szCs w:val="22"/>
                <w:lang w:val="uk-UA"/>
              </w:rPr>
            </w:r>
            <w:r>
              <w:rPr>
                <w:sz w:val="22"/>
                <w:szCs w:val="22"/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Тип Переліку, до якого включено об’єкт оренди 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Перелік першого  типу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Ринкова вартість майна за результатами оцінки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384</w:t>
            </w:r>
            <w:r>
              <w:rPr>
                <w:lang w:val="uk-UA"/>
              </w:rPr>
              <w:t xml:space="preserve"> </w:t>
            </w:r>
            <w:r>
              <w:rPr>
                <w:lang w:val="uk-UA"/>
              </w:rPr>
              <w:t xml:space="preserve">608</w:t>
            </w:r>
            <w:r>
              <w:rPr>
                <w:lang w:val="uk-UA"/>
              </w:rPr>
              <w:t xml:space="preserve">,00</w:t>
            </w:r>
            <w:r>
              <w:rPr>
                <w:lang w:val="uk-UA"/>
              </w:rPr>
              <w:t xml:space="preserve"> грн.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Тип об’єкта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Нерухоме майно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Строк оренди 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5 років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Інформація про наявність рішень про проведення інвестиційного конкурсу або включення об’єкта до переліку майна, що підлягає приватизації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Відсутня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Інформація про отримання балансоутримувачем погодження  органу управління  балансоутримувача у випадках, коли отримання такого погодження було необхідним 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Не потребує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Чи передбачається можливість передачі об’єкта в суборенду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Без права суборенди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/>
            </w:pPr>
            <w:r>
              <w:rPr>
                <w:lang w:val="uk-UA"/>
              </w:rPr>
              <w:t xml:space="preserve">Фотографічні матеріали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Додається окремим файлом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/>
            </w:pPr>
            <w:r>
              <w:rPr>
                <w:lang w:val="uk-UA"/>
              </w:rPr>
              <w:t xml:space="preserve">Загальна площа об’єкта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10000</w:t>
            </w:r>
            <w:r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кв. м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Корисна площа об’єкта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10000</w:t>
            </w:r>
            <w:r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кв. м 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Інформація про арешти майна/застави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Відсутня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Характеристика об’єкта оренди (будівлі в цілому або частини будівлі із зазначенням розташування об’єкта в будівлі(надземний, цокольний технічний або мансардний поверх, номер поверху)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Поля фільтрації (фільтраційно-збагачувальні ставки № 1 і № 2)</w:t>
            </w:r>
            <w:r>
              <w:rPr>
                <w:bCs/>
                <w:lang w:val="uk-UA"/>
              </w:rPr>
              <w:t xml:space="preserve"> </w:t>
            </w:r>
            <w:r>
              <w:rPr>
                <w:bCs/>
                <w:lang w:val="uk-UA"/>
              </w:rPr>
              <w:t xml:space="preserve">– спеціально підготовлені земельні ділянки з конструкціями призначені для доочищення стічних вод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Технічний стан об’єкта потужність електромережі і забезпечення об’єкта комунікаціями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Перебуває в придатному для використання стані.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Інформація про те, що об’єктом оренди є пам’ятка культурної спадщини та інформація про отримання погодження органу охорони культурної спадщини на передачу об’єкта в оренду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Об’єкт не є пам’яткою культурної спадщини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Інформація про цільове призначення 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Об’єкт може бути використаний </w:t>
            </w:r>
            <w:r>
              <w:rPr>
                <w:lang w:val="uk-UA"/>
              </w:rPr>
              <w:t xml:space="preserve">як допоміжний при</w:t>
            </w:r>
            <w:r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провадженнї господарської діяльності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b/>
                <w:lang w:val="uk-UA"/>
              </w:rPr>
            </w:pPr>
            <w:r>
              <w:rPr>
                <w:lang w:val="uk-UA"/>
              </w:rPr>
              <w:t xml:space="preserve">Інформація про компенсацію витрат на оплату комунальних послуг</w:t>
            </w:r>
            <w:r>
              <w:rPr>
                <w:b/>
                <w:lang w:val="uk-UA"/>
              </w:rPr>
            </w:r>
            <w:r>
              <w:rPr>
                <w:b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Відсутня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39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Інформація про аукціон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866"/>
              <w:pBdr/>
              <w:spacing/>
              <w:ind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  <w:r>
              <w:rPr>
                <w:sz w:val="22"/>
                <w:szCs w:val="22"/>
                <w:lang w:val="uk-UA"/>
              </w:rPr>
            </w:r>
            <w:r>
              <w:rPr>
                <w:sz w:val="22"/>
                <w:szCs w:val="22"/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866"/>
              <w:pBdr/>
              <w:spacing w:after="60"/>
              <w:ind w:right="7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Вид аукціону 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866"/>
              <w:pBdr/>
              <w:spacing w:after="60"/>
              <w:ind w:right="7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Аукціон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Style w:val="866"/>
              <w:pBdr/>
              <w:spacing w:after="60"/>
              <w:ind w:right="70"/>
              <w:jc w:val="both"/>
              <w:rPr>
                <w:lang w:val="uk-UA"/>
              </w:rPr>
            </w:pPr>
            <w:r>
              <w:rPr>
                <w:lang w:val="uk-UA"/>
              </w:rPr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866"/>
              <w:pBdr/>
              <w:spacing w:after="60"/>
              <w:ind w:right="70"/>
              <w:jc w:val="both"/>
              <w:rPr/>
            </w:pPr>
            <w:r>
              <w:rPr>
                <w:lang w:val="uk-UA"/>
              </w:rPr>
              <w:t xml:space="preserve">Місце проведення аукціону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866"/>
              <w:pBdr/>
              <w:spacing w:after="60"/>
              <w:ind w:right="7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Електронний аукціон відбувається в електронній торговій системі Прозорро. Продажі через авторизовані електронні майданчики. Орендодавець для проведення та організації використовує електронний майданчик «Е-ТЕНДЕР»</w:t>
            </w:r>
            <w:r>
              <w:rPr>
                <w:lang w:val="uk-UA"/>
              </w:rPr>
              <w:t xml:space="preserve"> 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866"/>
              <w:pBdr/>
              <w:spacing w:after="60"/>
              <w:ind w:right="7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Час проведення аукціону 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866"/>
              <w:pBdr/>
              <w:spacing w:after="60"/>
              <w:ind w:right="7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Дата та час аукціону визначені умовами оголошення на електронному майданчику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866"/>
              <w:pBdr/>
              <w:spacing w:after="60"/>
              <w:ind w:right="7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Кінцевий строк подання пропозицій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866"/>
              <w:pBdr/>
              <w:spacing w:after="60"/>
              <w:ind w:right="7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Кінцевий строк подання заяви на участь в електронному аукціоні встановлюється електронною торговою системою для кожного електронного аукціону окремо в проміжок часу з 19:30 до 20:30 дня, що передує дню проведення аукціону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866"/>
              <w:pBdr/>
              <w:spacing w:after="60"/>
              <w:ind w:right="7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Стартова орендна плата для першого аукціону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866"/>
              <w:pBdr/>
              <w:spacing w:after="60"/>
              <w:ind w:right="7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lang w:val="uk-UA"/>
              </w:rPr>
              <w:t xml:space="preserve">3205,07</w:t>
            </w:r>
            <w:r>
              <w:rPr>
                <w:color w:val="000000" w:themeColor="text1"/>
                <w:lang w:val="uk-UA"/>
              </w:rPr>
              <w:t xml:space="preserve"> грн</w:t>
            </w:r>
            <w:r>
              <w:rPr>
                <w:color w:val="000000" w:themeColor="text1"/>
                <w:lang w:val="uk-UA"/>
              </w:rPr>
              <w:t xml:space="preserve">. на місяць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866"/>
              <w:pBdr/>
              <w:spacing w:after="60"/>
              <w:ind w:right="7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Період прийому пропозицій для  аукціону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866"/>
              <w:pBdr/>
              <w:spacing w:after="60"/>
              <w:ind w:right="7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20 календарних днів з дати оприлюднення оголошення про передачу майна в оренду в ЕТС.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866"/>
              <w:pBdr/>
              <w:spacing w:after="60"/>
              <w:ind w:right="7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Розмір кроку аукціону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866"/>
              <w:pBdr/>
              <w:spacing w:after="60"/>
              <w:ind w:right="70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22"/>
                <w:szCs w:val="22"/>
                <w:lang w:val="uk-UA"/>
              </w:rPr>
              <w:t xml:space="preserve">320,50 </w:t>
            </w:r>
            <w:r>
              <w:rPr>
                <w:color w:val="000000" w:themeColor="text1"/>
                <w:sz w:val="22"/>
                <w:szCs w:val="22"/>
                <w:lang w:val="uk-UA"/>
              </w:rPr>
              <w:t xml:space="preserve">грн.</w:t>
            </w:r>
            <w:r>
              <w:rPr>
                <w:color w:val="000000" w:themeColor="text1"/>
                <w:sz w:val="16"/>
                <w:szCs w:val="16"/>
              </w:rPr>
            </w:r>
            <w:r>
              <w:rPr>
                <w:color w:val="000000" w:themeColor="text1"/>
                <w:sz w:val="16"/>
                <w:szCs w:val="16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866"/>
              <w:pBdr/>
              <w:spacing w:after="60"/>
              <w:ind w:right="7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Розмір гарантійного внеску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866"/>
              <w:pBdr/>
              <w:spacing w:after="60"/>
              <w:ind w:right="70"/>
              <w:jc w:val="both"/>
              <w:rPr>
                <w:sz w:val="16"/>
                <w:szCs w:val="16"/>
                <w:lang w:val="uk-UA"/>
              </w:rPr>
            </w:pPr>
            <w:r>
              <w:rPr>
                <w:lang w:val="uk-UA"/>
              </w:rPr>
              <w:t xml:space="preserve">6656,00 грн</w:t>
            </w:r>
            <w:r>
              <w:rPr>
                <w:sz w:val="16"/>
                <w:szCs w:val="16"/>
                <w:lang w:val="uk-UA"/>
              </w:rPr>
            </w:r>
            <w:r>
              <w:rPr>
                <w:sz w:val="16"/>
                <w:szCs w:val="16"/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866"/>
              <w:pBdr/>
              <w:spacing w:after="60"/>
              <w:ind w:right="7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Розмір реєстраційного внеску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866"/>
              <w:pBdr/>
              <w:spacing w:after="60"/>
              <w:ind w:right="7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864,75 грн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Інформація про нарахування ПДВ 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ПДВ не нараховується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>
          <w:trHeight w:val="228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Найменування установи (банку, казначейства), її місцезнаходження та номери рахунків у національній та іноземній валюті, відкритих для внесення розрахунків за орендовані об’єкти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none"/>
              </w:rPr>
              <w:t xml:space="preserve">Отримувач: ГУК у Черніг.обл/тг м. Мена/22080400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Код отримувача (ЄДРПОУ): 37972475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р/р UA 298999980334169850000025659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sz w:val="24"/>
              </w:rPr>
              <w:t xml:space="preserve">Призначення платежу: Надходження від орендної плати за користування майновим комплексом та іншим майном, що перебуває в комунальній власності</w:t>
            </w:r>
            <w:r/>
          </w:p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39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 w:firstLine="2869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Додаткові умови оренди 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866"/>
              <w:pBdr/>
              <w:spacing/>
              <w:ind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  <w:r>
              <w:rPr>
                <w:sz w:val="22"/>
                <w:szCs w:val="22"/>
                <w:lang w:val="uk-UA"/>
              </w:rPr>
            </w:r>
            <w:r>
              <w:rPr>
                <w:sz w:val="22"/>
                <w:szCs w:val="22"/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Перелік додаткових умов оренди, з переліку, що визначений абз. 4 п. 55 Порядку передачі в оренду державного та комунального майна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Відсутні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Дата та номер рішення про затвердження додаткових умов оренди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Відсутні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39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 w:firstLine="2869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Додаткова інформація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866"/>
              <w:pBdr/>
              <w:spacing/>
              <w:ind w:firstLine="2869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</w:r>
            <w:r>
              <w:rPr>
                <w:b/>
                <w:sz w:val="28"/>
                <w:szCs w:val="28"/>
                <w:lang w:val="uk-UA"/>
              </w:rPr>
            </w:r>
            <w:r>
              <w:rPr>
                <w:b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Наявність згоди на здійснення поточного та / або капітального ремонту орендованого майна під час встановлення додаткової умови оренди щодо виконання конкретних видів ремонтних робіт, реконструкції або реставрації об’єкта оренди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Ремонт за окремим зверненням орендаря</w:t>
            </w:r>
            <w:r>
              <w:rPr>
                <w:lang w:val="uk-UA"/>
              </w:rPr>
              <w:t xml:space="preserve"> та погодженням орендодавця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Інформація про необхідність відповідності орендаря вимогам статті 4 Закону України «Про оренду державного та комунального майна»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Потенційний орендар повинен відповідати вимогам до особи орендаря, визначеним статтею 4 «Про оренду державного та комунального майна»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Копія охоронного договору, якщо об’єктом оренди є пам’ятка, якщо об’єктом оренди є занедбана пам’ятка, також копія згоди (дозволу) на здійснення ремонту, реставрації, яка дає право на зарахування витрат орендаря в рахунок орендної плати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Відсутній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Інша додаткова інформація, визначена орендодавцем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866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Відсутня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</w:tbl>
    <w:p>
      <w:pPr>
        <w:pStyle w:val="866"/>
        <w:pBdr/>
        <w:spacing/>
        <w:ind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66"/>
        <w:pBdr/>
        <w:spacing/>
        <w:ind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66"/>
        <w:pBdr/>
        <w:spacing/>
        <w:ind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Начальник юридичного відділу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66"/>
        <w:pBdr/>
        <w:spacing/>
        <w:ind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Менської міської ради                                         </w:t>
      </w:r>
      <w:r>
        <w:rPr>
          <w:sz w:val="28"/>
          <w:szCs w:val="28"/>
          <w:lang w:val="uk-UA"/>
        </w:rPr>
        <w:t xml:space="preserve">             </w:t>
      </w:r>
      <w:r>
        <w:rPr>
          <w:sz w:val="28"/>
          <w:szCs w:val="28"/>
          <w:lang w:val="uk-UA"/>
        </w:rPr>
        <w:t xml:space="preserve">     Тетяна МАРЦЕВА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sectPr>
      <w:headerReference w:type="default" r:id="rId8"/>
      <w:footnotePr/>
      <w:endnotePr/>
      <w:type w:val="nextPage"/>
      <w:pgSz w:h="16838" w:orient="portrait" w:w="11906"/>
      <w:pgMar w:top="1134" w:right="850" w:bottom="1134" w:left="1701" w:header="708" w:footer="708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4"/>
      <w:pBdr/>
      <w:spacing/>
      <w:ind/>
      <w:jc w:val="center"/>
      <w:rPr>
        <w:lang w:val="uk-UA"/>
      </w:rPr>
    </w:pPr>
    <w:r>
      <w:rPr>
        <w:lang w:val="uk-UA"/>
      </w:rPr>
      <w:t xml:space="preserve">                                           </w:t>
    </w:r>
    <w:r>
      <w:fldChar w:fldCharType="begin"/>
    </w:r>
    <w:r>
      <w:instrText xml:space="preserve">PAGE   \* MERGEFORMAT</w:instrText>
    </w:r>
    <w:r>
      <w:fldChar w:fldCharType="separate"/>
    </w:r>
    <w:r>
      <w:rPr>
        <w:lang w:val="uk-UA"/>
      </w:rPr>
      <w:t xml:space="preserve">2</w:t>
    </w:r>
    <w:r>
      <w:fldChar w:fldCharType="end"/>
    </w:r>
    <w:r>
      <w:rPr>
        <w:lang w:val="uk-UA"/>
      </w:rPr>
      <w:t xml:space="preserve">                продовження додатка</w:t>
    </w:r>
    <w:r>
      <w:rPr>
        <w:lang w:val="uk-UA"/>
      </w:rPr>
    </w:r>
    <w:r>
      <w:rPr>
        <w:lang w:val="uk-UA"/>
      </w:rPr>
    </w:r>
  </w:p>
  <w:p>
    <w:pPr>
      <w:pStyle w:val="874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88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Table Grid"/>
    <w:basedOn w:val="688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Table Grid Light"/>
    <w:basedOn w:val="68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Plain Table 1"/>
    <w:basedOn w:val="68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Plain Table 2"/>
    <w:basedOn w:val="68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Plain Table 3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Plain Table 4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Plain Table 5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1 Light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1 Light - Accent 1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1 Light - Accent 2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1 Light - Accent 3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1 Light - Accent 4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1 Light - Accent 5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1 Light - Accent 6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2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2 - Accent 1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2 - Accent 2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2 - Accent 3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2 - Accent 4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2 - Accent 5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2 - Accent 6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3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3 - Accent 1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3 - Accent 2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3 - Accent 3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3 - Accent 4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3 - Accent 5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3 - Accent 6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4"/>
    <w:basedOn w:val="68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4 - Accent 1"/>
    <w:basedOn w:val="68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4 - Accent 2"/>
    <w:basedOn w:val="68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4 - Accent 3"/>
    <w:basedOn w:val="68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4 - Accent 4"/>
    <w:basedOn w:val="68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4 - Accent 5"/>
    <w:basedOn w:val="68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4 - Accent 6"/>
    <w:basedOn w:val="68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5 Dark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5 Dark- Accent 1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5 Dark - Accent 2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5 Dark - Accent 3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5 Dark- Accent 4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5 Dark - Accent 5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5 Dark - Accent 6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6 Colorful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6 Colorful - Accent 1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6 Colorful - Accent 2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6 Colorful - Accent 3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6 Colorful - Accent 4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6 Colorful - Accent 5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6 Colorful - Accent 6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7 Colorful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7 Colorful - Accent 1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7 Colorful - Accent 2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7 Colorful - Accent 3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7 Colorful - Accent 4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7 Colorful - Accent 5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7 Colorful - Accent 6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1 Light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1 Light - Accent 1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1 Light - Accent 2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1 Light - Accent 3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1 Light - Accent 4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1 Light - Accent 5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1 Light - Accent 6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2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2 - Accent 1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2 - Accent 2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2 - Accent 3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2 - Accent 4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2 - Accent 5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2 - Accent 6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3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3 - Accent 1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3 - Accent 2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3 - Accent 3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3 - Accent 4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3 - Accent 5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3 - Accent 6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4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4 - Accent 1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4 - Accent 2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4 - Accent 3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4 - Accent 4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4 - Accent 5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4 - Accent 6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5 Dark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5 Dark - Accent 1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5 Dark - Accent 2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5 Dark - Accent 3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5 Dark - Accent 4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5 Dark - Accent 5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5 Dark - Accent 6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6 Colorful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6 Colorful - Accent 1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6 Colorful - Accent 2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6 Colorful - Accent 3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6 Colorful - Accent 4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6 Colorful - Accent 5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6 Colorful - Accent 6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7 Colorful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7 Colorful - Accent 1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7 Colorful - Accent 2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7 Colorful - Accent 3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7 Colorful - Accent 4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7 Colorful - Accent 5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7 Colorful - Accent 6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ned - Accent"/>
    <w:basedOn w:val="6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ned - Accent 1"/>
    <w:basedOn w:val="6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ned - Accent 2"/>
    <w:basedOn w:val="6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ned - Accent 3"/>
    <w:basedOn w:val="6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ned - Accent 4"/>
    <w:basedOn w:val="6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ned - Accent 5"/>
    <w:basedOn w:val="6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ned - Accent 6"/>
    <w:basedOn w:val="6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Bordered &amp; Lined - Accent"/>
    <w:basedOn w:val="6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Bordered &amp; Lined - Accent 1"/>
    <w:basedOn w:val="6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Bordered &amp; Lined - Accent 2"/>
    <w:basedOn w:val="6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Bordered &amp; Lined - Accent 3"/>
    <w:basedOn w:val="6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Bordered &amp; Lined - Accent 4"/>
    <w:basedOn w:val="6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Bordered &amp; Lined - Accent 5"/>
    <w:basedOn w:val="6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Bordered &amp; Lined - Accent 6"/>
    <w:basedOn w:val="6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Bordered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Bordered - Accent 1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Bordered - Accent 2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Bordered - Accent 3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Bordered - Accent 4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Bordered - Accent 5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Bordered - Accent 6"/>
    <w:basedOn w:val="6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15">
    <w:name w:val="Heading 1"/>
    <w:basedOn w:val="866"/>
    <w:next w:val="866"/>
    <w:link w:val="826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16">
    <w:name w:val="Heading 2"/>
    <w:basedOn w:val="866"/>
    <w:next w:val="866"/>
    <w:link w:val="827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17">
    <w:name w:val="Heading 3"/>
    <w:basedOn w:val="866"/>
    <w:next w:val="866"/>
    <w:link w:val="828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18">
    <w:name w:val="Heading 4"/>
    <w:basedOn w:val="866"/>
    <w:next w:val="866"/>
    <w:link w:val="829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19">
    <w:name w:val="Heading 5"/>
    <w:basedOn w:val="866"/>
    <w:next w:val="866"/>
    <w:link w:val="830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20">
    <w:name w:val="Heading 6"/>
    <w:basedOn w:val="866"/>
    <w:next w:val="866"/>
    <w:link w:val="831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21">
    <w:name w:val="Heading 7"/>
    <w:basedOn w:val="866"/>
    <w:next w:val="866"/>
    <w:link w:val="832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22">
    <w:name w:val="Heading 8"/>
    <w:basedOn w:val="866"/>
    <w:next w:val="866"/>
    <w:link w:val="833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23">
    <w:name w:val="Heading 9"/>
    <w:basedOn w:val="866"/>
    <w:next w:val="866"/>
    <w:link w:val="834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24" w:default="1">
    <w:name w:val="Default Paragraph Font"/>
    <w:uiPriority w:val="1"/>
    <w:semiHidden/>
    <w:unhideWhenUsed/>
    <w:pPr>
      <w:pBdr/>
      <w:spacing/>
      <w:ind/>
    </w:pPr>
  </w:style>
  <w:style w:type="numbering" w:styleId="825" w:default="1">
    <w:name w:val="No List"/>
    <w:uiPriority w:val="99"/>
    <w:semiHidden/>
    <w:unhideWhenUsed/>
    <w:pPr>
      <w:pBdr/>
      <w:spacing/>
      <w:ind/>
    </w:pPr>
  </w:style>
  <w:style w:type="character" w:styleId="826">
    <w:name w:val="Heading 1 Char"/>
    <w:basedOn w:val="824"/>
    <w:link w:val="81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27">
    <w:name w:val="Heading 2 Char"/>
    <w:basedOn w:val="824"/>
    <w:link w:val="81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28">
    <w:name w:val="Heading 3 Char"/>
    <w:basedOn w:val="824"/>
    <w:link w:val="81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29">
    <w:name w:val="Heading 4 Char"/>
    <w:basedOn w:val="824"/>
    <w:link w:val="818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30">
    <w:name w:val="Heading 5 Char"/>
    <w:basedOn w:val="824"/>
    <w:link w:val="81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31">
    <w:name w:val="Heading 6 Char"/>
    <w:basedOn w:val="824"/>
    <w:link w:val="820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32">
    <w:name w:val="Heading 7 Char"/>
    <w:basedOn w:val="824"/>
    <w:link w:val="821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33">
    <w:name w:val="Heading 8 Char"/>
    <w:basedOn w:val="824"/>
    <w:link w:val="82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34">
    <w:name w:val="Heading 9 Char"/>
    <w:basedOn w:val="824"/>
    <w:link w:val="82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35">
    <w:name w:val="Title"/>
    <w:basedOn w:val="866"/>
    <w:next w:val="866"/>
    <w:link w:val="836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36">
    <w:name w:val="Title Char"/>
    <w:basedOn w:val="824"/>
    <w:link w:val="83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37">
    <w:name w:val="Subtitle"/>
    <w:basedOn w:val="866"/>
    <w:next w:val="866"/>
    <w:link w:val="838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38">
    <w:name w:val="Subtitle Char"/>
    <w:basedOn w:val="824"/>
    <w:link w:val="837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39">
    <w:name w:val="Quote"/>
    <w:basedOn w:val="866"/>
    <w:next w:val="866"/>
    <w:link w:val="840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40">
    <w:name w:val="Quote Char"/>
    <w:basedOn w:val="824"/>
    <w:link w:val="839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41">
    <w:name w:val="Intense Emphasis"/>
    <w:basedOn w:val="824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42">
    <w:name w:val="Intense Quote"/>
    <w:basedOn w:val="866"/>
    <w:next w:val="866"/>
    <w:link w:val="843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43">
    <w:name w:val="Intense Quote Char"/>
    <w:basedOn w:val="824"/>
    <w:link w:val="842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44">
    <w:name w:val="Intense Reference"/>
    <w:basedOn w:val="824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45">
    <w:name w:val="No Spacing"/>
    <w:basedOn w:val="866"/>
    <w:uiPriority w:val="1"/>
    <w:qFormat/>
    <w:pPr>
      <w:pBdr/>
      <w:spacing w:after="0" w:line="240" w:lineRule="auto"/>
      <w:ind/>
    </w:pPr>
  </w:style>
  <w:style w:type="character" w:styleId="846">
    <w:name w:val="Subtle Emphasis"/>
    <w:basedOn w:val="82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47">
    <w:name w:val="Emphasis"/>
    <w:basedOn w:val="824"/>
    <w:uiPriority w:val="20"/>
    <w:qFormat/>
    <w:pPr>
      <w:pBdr/>
      <w:spacing/>
      <w:ind/>
    </w:pPr>
    <w:rPr>
      <w:i/>
      <w:iCs/>
    </w:rPr>
  </w:style>
  <w:style w:type="character" w:styleId="848">
    <w:name w:val="Strong"/>
    <w:basedOn w:val="824"/>
    <w:uiPriority w:val="22"/>
    <w:qFormat/>
    <w:pPr>
      <w:pBdr/>
      <w:spacing/>
      <w:ind/>
    </w:pPr>
    <w:rPr>
      <w:b/>
      <w:bCs/>
    </w:rPr>
  </w:style>
  <w:style w:type="character" w:styleId="849">
    <w:name w:val="Subtle Reference"/>
    <w:basedOn w:val="82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50">
    <w:name w:val="Book Title"/>
    <w:basedOn w:val="82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51">
    <w:name w:val="Header"/>
    <w:basedOn w:val="866"/>
    <w:link w:val="85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52">
    <w:name w:val="Header Char"/>
    <w:basedOn w:val="824"/>
    <w:link w:val="851"/>
    <w:uiPriority w:val="99"/>
    <w:pPr>
      <w:pBdr/>
      <w:spacing/>
      <w:ind/>
    </w:pPr>
  </w:style>
  <w:style w:type="paragraph" w:styleId="853">
    <w:name w:val="Footer"/>
    <w:basedOn w:val="866"/>
    <w:link w:val="85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54">
    <w:name w:val="Footer Char"/>
    <w:basedOn w:val="824"/>
    <w:link w:val="853"/>
    <w:uiPriority w:val="99"/>
    <w:pPr>
      <w:pBdr/>
      <w:spacing/>
      <w:ind/>
    </w:pPr>
  </w:style>
  <w:style w:type="paragraph" w:styleId="855">
    <w:name w:val="Caption"/>
    <w:basedOn w:val="866"/>
    <w:next w:val="86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56">
    <w:name w:val="footnote text"/>
    <w:basedOn w:val="866"/>
    <w:link w:val="85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57">
    <w:name w:val="Footnote Text Char"/>
    <w:basedOn w:val="824"/>
    <w:link w:val="856"/>
    <w:uiPriority w:val="99"/>
    <w:semiHidden/>
    <w:pPr>
      <w:pBdr/>
      <w:spacing/>
      <w:ind/>
    </w:pPr>
    <w:rPr>
      <w:sz w:val="20"/>
      <w:szCs w:val="20"/>
    </w:rPr>
  </w:style>
  <w:style w:type="character" w:styleId="858">
    <w:name w:val="footnote reference"/>
    <w:basedOn w:val="824"/>
    <w:uiPriority w:val="99"/>
    <w:semiHidden/>
    <w:unhideWhenUsed/>
    <w:pPr>
      <w:pBdr/>
      <w:spacing/>
      <w:ind/>
    </w:pPr>
    <w:rPr>
      <w:vertAlign w:val="superscript"/>
    </w:rPr>
  </w:style>
  <w:style w:type="paragraph" w:styleId="859">
    <w:name w:val="endnote text"/>
    <w:basedOn w:val="866"/>
    <w:link w:val="86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60">
    <w:name w:val="Endnote Text Char"/>
    <w:basedOn w:val="824"/>
    <w:link w:val="859"/>
    <w:uiPriority w:val="99"/>
    <w:semiHidden/>
    <w:pPr>
      <w:pBdr/>
      <w:spacing/>
      <w:ind/>
    </w:pPr>
    <w:rPr>
      <w:sz w:val="20"/>
      <w:szCs w:val="20"/>
    </w:rPr>
  </w:style>
  <w:style w:type="character" w:styleId="861">
    <w:name w:val="endnote reference"/>
    <w:basedOn w:val="824"/>
    <w:uiPriority w:val="99"/>
    <w:semiHidden/>
    <w:unhideWhenUsed/>
    <w:pPr>
      <w:pBdr/>
      <w:spacing/>
      <w:ind/>
    </w:pPr>
    <w:rPr>
      <w:vertAlign w:val="superscript"/>
    </w:rPr>
  </w:style>
  <w:style w:type="character" w:styleId="862">
    <w:name w:val="Hyperlink"/>
    <w:basedOn w:val="824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63">
    <w:name w:val="FollowedHyperlink"/>
    <w:basedOn w:val="82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64">
    <w:name w:val="TOC Heading"/>
    <w:uiPriority w:val="39"/>
    <w:unhideWhenUsed/>
    <w:pPr>
      <w:pBdr/>
      <w:spacing/>
      <w:ind/>
    </w:pPr>
  </w:style>
  <w:style w:type="paragraph" w:styleId="865">
    <w:name w:val="table of figures"/>
    <w:basedOn w:val="866"/>
    <w:next w:val="866"/>
    <w:uiPriority w:val="99"/>
    <w:unhideWhenUsed/>
    <w:pPr>
      <w:pBdr/>
      <w:spacing w:after="0" w:afterAutospacing="0"/>
      <w:ind/>
    </w:pPr>
  </w:style>
  <w:style w:type="paragraph" w:styleId="866" w:default="1">
    <w:name w:val="Normal"/>
    <w:next w:val="866"/>
    <w:link w:val="866"/>
    <w:qFormat/>
    <w:pPr>
      <w:pBdr/>
      <w:spacing/>
      <w:ind/>
    </w:pPr>
    <w:rPr>
      <w:rFonts w:eastAsia="Calibri"/>
      <w:sz w:val="24"/>
      <w:szCs w:val="24"/>
      <w:lang w:val="ru-RU" w:eastAsia="ru-RU" w:bidi="ar-SA"/>
    </w:rPr>
  </w:style>
  <w:style w:type="character" w:styleId="867">
    <w:name w:val="Основной шрифт абзаца"/>
    <w:next w:val="867"/>
    <w:link w:val="866"/>
    <w:semiHidden/>
    <w:pPr>
      <w:pBdr/>
      <w:spacing/>
      <w:ind/>
    </w:pPr>
  </w:style>
  <w:style w:type="table" w:styleId="868">
    <w:name w:val="Обычная таблица"/>
    <w:next w:val="868"/>
    <w:link w:val="866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69">
    <w:name w:val="Нет списка"/>
    <w:next w:val="869"/>
    <w:link w:val="866"/>
    <w:semiHidden/>
    <w:pPr>
      <w:pBdr/>
      <w:spacing/>
      <w:ind/>
    </w:pPr>
  </w:style>
  <w:style w:type="character" w:styleId="870">
    <w:name w:val="Гиперссылка"/>
    <w:next w:val="870"/>
    <w:link w:val="866"/>
    <w:pPr>
      <w:pBdr/>
      <w:spacing/>
      <w:ind/>
    </w:pPr>
    <w:rPr>
      <w:rFonts w:ascii="Times New Roman" w:hAnsi="Times New Roman" w:cs="Times New Roman"/>
      <w:color w:val="0000ff"/>
      <w:u w:val="single"/>
    </w:rPr>
  </w:style>
  <w:style w:type="paragraph" w:styleId="871">
    <w:name w:val="Обычный (веб)"/>
    <w:basedOn w:val="866"/>
    <w:next w:val="871"/>
    <w:link w:val="866"/>
    <w:pPr>
      <w:pBdr/>
      <w:spacing w:after="100" w:afterAutospacing="1" w:before="100" w:beforeAutospacing="1"/>
      <w:ind/>
    </w:pPr>
  </w:style>
  <w:style w:type="paragraph" w:styleId="872">
    <w:name w:val="Название объекта"/>
    <w:basedOn w:val="866"/>
    <w:next w:val="866"/>
    <w:link w:val="866"/>
    <w:qFormat/>
    <w:pPr>
      <w:pBdr/>
      <w:spacing w:after="240"/>
      <w:ind w:hanging="720" w:left="720"/>
      <w:jc w:val="center"/>
    </w:pPr>
    <w:rPr>
      <w:sz w:val="32"/>
      <w:szCs w:val="20"/>
      <w:lang w:val="uk-UA"/>
    </w:rPr>
  </w:style>
  <w:style w:type="paragraph" w:styleId="873">
    <w:name w:val="List Paragraph"/>
    <w:basedOn w:val="866"/>
    <w:next w:val="873"/>
    <w:link w:val="866"/>
    <w:pPr>
      <w:pBdr/>
      <w:spacing/>
      <w:ind w:left="720"/>
      <w:contextualSpacing w:val="true"/>
    </w:pPr>
  </w:style>
  <w:style w:type="paragraph" w:styleId="874">
    <w:name w:val="Верхний колонтитул"/>
    <w:basedOn w:val="866"/>
    <w:next w:val="874"/>
    <w:link w:val="875"/>
    <w:uiPriority w:val="99"/>
    <w:pPr>
      <w:pBdr/>
      <w:tabs>
        <w:tab w:val="center" w:leader="none" w:pos="4819"/>
        <w:tab w:val="right" w:leader="none" w:pos="9639"/>
      </w:tabs>
      <w:spacing/>
      <w:ind/>
    </w:pPr>
  </w:style>
  <w:style w:type="character" w:styleId="875">
    <w:name w:val="Верхний колонтитул Знак"/>
    <w:next w:val="875"/>
    <w:link w:val="874"/>
    <w:uiPriority w:val="99"/>
    <w:pPr>
      <w:pBdr/>
      <w:spacing/>
      <w:ind/>
    </w:pPr>
    <w:rPr>
      <w:rFonts w:eastAsia="Calibri"/>
      <w:sz w:val="24"/>
      <w:szCs w:val="24"/>
      <w:lang w:val="ru-RU" w:eastAsia="ru-RU"/>
    </w:rPr>
  </w:style>
  <w:style w:type="paragraph" w:styleId="876">
    <w:name w:val="Нижний колонтитул"/>
    <w:basedOn w:val="866"/>
    <w:next w:val="876"/>
    <w:link w:val="877"/>
    <w:pPr>
      <w:pBdr/>
      <w:tabs>
        <w:tab w:val="center" w:leader="none" w:pos="4819"/>
        <w:tab w:val="right" w:leader="none" w:pos="9639"/>
      </w:tabs>
      <w:spacing/>
      <w:ind/>
    </w:pPr>
  </w:style>
  <w:style w:type="character" w:styleId="877">
    <w:name w:val="Нижний колонтитул Знак"/>
    <w:next w:val="877"/>
    <w:link w:val="876"/>
    <w:pPr>
      <w:pBdr/>
      <w:spacing/>
      <w:ind/>
    </w:pPr>
    <w:rPr>
      <w:rFonts w:eastAsia="Calibri"/>
      <w:sz w:val="24"/>
      <w:szCs w:val="24"/>
      <w:lang w:val="ru-RU" w:eastAsia="ru-RU"/>
    </w:rPr>
  </w:style>
  <w:style w:type="paragraph" w:styleId="878">
    <w:name w:val="rvps2"/>
    <w:basedOn w:val="866"/>
    <w:next w:val="878"/>
    <w:link w:val="866"/>
    <w:pPr>
      <w:pBdr/>
      <w:spacing w:after="100" w:afterAutospacing="1" w:before="100" w:beforeAutospacing="1"/>
      <w:ind/>
    </w:pPr>
    <w:rPr>
      <w:rFonts w:eastAsia="Times New Roman"/>
      <w:lang w:val="uk-UA" w:eastAsia="uk-U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RePack by SPecialiST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Проєкт</dc:title>
  <dc:creator>User</dc:creator>
  <cp:lastModifiedBy>СТАРОДУБ Людмила Олександрівна</cp:lastModifiedBy>
  <cp:revision>7</cp:revision>
  <dcterms:created xsi:type="dcterms:W3CDTF">2026-07-02T08:15:00Z</dcterms:created>
  <dcterms:modified xsi:type="dcterms:W3CDTF">2026-07-28T16:25:51Z</dcterms:modified>
  <cp:version>1048576</cp:version>
</cp:coreProperties>
</file>