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7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7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  <w:sz w:val="16"/>
        </w:rPr>
      </w:pP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b/>
          <w:color w:val="000000" w:themeColor="text1"/>
          <w:szCs w:val="28"/>
          <w:lang w:eastAsia="hi-IN" w:bidi="hi-IN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b/>
          <w:color w:val="000000" w:themeColor="text1"/>
          <w:szCs w:val="28"/>
          <w:lang w:eastAsia="hi-IN" w:bidi="hi-IN"/>
        </w:rPr>
      </w:r>
      <w:r>
        <w:rPr>
          <w:rFonts w:cs="Mangal"/>
          <w:b/>
          <w:color w:val="000000" w:themeColor="text1"/>
          <w:szCs w:val="28"/>
          <w:lang w:eastAsia="hi-IN" w:bidi="hi-IN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szCs w:val="28"/>
          <w:lang w:eastAsia="hi-IN" w:bidi="hi-IN"/>
        </w:rPr>
      </w:pPr>
      <w:r>
        <w:t xml:space="preserve">2</w:t>
      </w:r>
      <w:r>
        <w:t xml:space="preserve">7</w:t>
      </w:r>
      <w:r>
        <w:t xml:space="preserve"> </w:t>
      </w:r>
      <w:r>
        <w:t xml:space="preserve"> </w:t>
      </w:r>
      <w:r>
        <w:t xml:space="preserve">лип</w:t>
      </w:r>
      <w:r>
        <w:t xml:space="preserve">ня</w:t>
      </w:r>
      <w:r>
        <w:rPr>
          <w:rFonts w:cs="Mangal"/>
          <w:szCs w:val="28"/>
          <w:lang w:eastAsia="hi-IN" w:bidi="hi-IN"/>
        </w:rPr>
        <w:t xml:space="preserve"> </w:t>
      </w:r>
      <w:r>
        <w:rPr>
          <w:rFonts w:cs="Mangal"/>
          <w:szCs w:val="28"/>
          <w:lang w:eastAsia="hi-IN" w:bidi="hi-IN"/>
        </w:rPr>
        <w:t xml:space="preserve"> 202</w:t>
      </w:r>
      <w:r>
        <w:rPr>
          <w:rFonts w:cs="Mangal"/>
          <w:szCs w:val="28"/>
          <w:lang w:eastAsia="hi-IN" w:bidi="hi-IN"/>
        </w:rPr>
        <w:t xml:space="preserve">6 </w:t>
      </w:r>
      <w:r>
        <w:rPr>
          <w:rFonts w:cs="Mangal"/>
          <w:szCs w:val="28"/>
          <w:lang w:eastAsia="hi-IN" w:bidi="hi-IN"/>
        </w:rPr>
        <w:t xml:space="preserve">року</w:t>
      </w:r>
      <w:r>
        <w:rPr>
          <w:rFonts w:cs="Mangal"/>
          <w:szCs w:val="28"/>
          <w:lang w:eastAsia="hi-IN" w:bidi="hi-IN"/>
        </w:rPr>
        <w:tab/>
        <w:t xml:space="preserve">м. </w:t>
      </w:r>
      <w:r>
        <w:rPr>
          <w:rFonts w:cs="Mangal"/>
          <w:szCs w:val="28"/>
          <w:lang w:eastAsia="hi-IN" w:bidi="hi-IN"/>
        </w:rPr>
        <w:t xml:space="preserve">Мена</w:t>
      </w:r>
      <w:r>
        <w:rPr>
          <w:rFonts w:cs="Mangal"/>
          <w:szCs w:val="28"/>
          <w:lang w:eastAsia="hi-IN" w:bidi="hi-IN"/>
        </w:rPr>
        <w:tab/>
        <w:t xml:space="preserve"> №</w:t>
      </w:r>
      <w:r>
        <w:rPr>
          <w:rFonts w:cs="Mangal"/>
          <w:szCs w:val="28"/>
          <w:lang w:eastAsia="hi-IN" w:bidi="hi-IN"/>
        </w:rPr>
        <w:t xml:space="preserve"> </w:t>
      </w:r>
      <w:r>
        <w:rPr>
          <w:rFonts w:cs="Mangal"/>
          <w:szCs w:val="28"/>
          <w:lang w:eastAsia="hi-IN" w:bidi="hi-IN"/>
        </w:rPr>
        <w:t xml:space="preserve">205</w:t>
      </w:r>
      <w:r>
        <w:rPr>
          <w:rFonts w:cs="Mangal"/>
          <w:szCs w:val="28"/>
          <w:lang w:eastAsia="hi-IN" w:bidi="hi-IN"/>
        </w:rPr>
      </w:r>
      <w:r>
        <w:rPr>
          <w:rFonts w:cs="Mangal"/>
          <w:szCs w:val="28"/>
          <w:lang w:eastAsia="hi-IN" w:bidi="hi-IN"/>
        </w:rPr>
      </w:r>
    </w:p>
    <w:p>
      <w:pPr>
        <w:pBdr/>
        <w:spacing/>
        <w:ind w:right="5528"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right="5386" w:firstLine="0" w:left="0"/>
        <w:rPr>
          <w:b/>
        </w:rPr>
      </w:pPr>
      <w:r>
        <w:rPr>
          <w:b/>
        </w:rPr>
        <w:t xml:space="preserve">Про внесення змін </w:t>
      </w:r>
      <w:r>
        <w:rPr>
          <w:b/>
        </w:rPr>
        <w:t xml:space="preserve">до </w:t>
      </w:r>
      <w:r>
        <w:rPr>
          <w:b/>
        </w:rPr>
        <w:t xml:space="preserve">спеціального фонд</w:t>
      </w:r>
      <w:r>
        <w:rPr>
          <w:b/>
        </w:rPr>
        <w:t xml:space="preserve">у бюджету Менської </w:t>
      </w:r>
      <w:r>
        <w:rPr>
          <w:b/>
        </w:rPr>
        <w:t xml:space="preserve">міської територіальної громади на 20</w:t>
      </w:r>
      <w:r>
        <w:rPr>
          <w:b/>
        </w:rPr>
        <w:t xml:space="preserve">26</w:t>
      </w:r>
      <w:r>
        <w:rPr>
          <w:b/>
        </w:rPr>
        <w:t xml:space="preserve"> рік</w:t>
      </w:r>
      <w:r>
        <w:rPr>
          <w:b/>
        </w:rPr>
      </w:r>
      <w:r>
        <w:rPr>
          <w:b/>
        </w:rPr>
      </w:r>
    </w:p>
    <w:p>
      <w:p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 w:line="253" w:lineRule="atLeast"/>
        <w:ind w:firstLine="0"/>
        <w:rPr>
          <w:rFonts w:eastAsia="MS Gothic"/>
          <w:b/>
          <w:color w:val="000000"/>
          <w:szCs w:val="28"/>
        </w:rPr>
      </w:pP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</w:p>
    <w:p>
      <w:pPr>
        <w:pStyle w:val="958"/>
        <w:pBdr/>
        <w:tabs>
          <w:tab w:val="left" w:leader="none" w:pos="709"/>
        </w:tabs>
        <w:spacing w:after="0" w:afterAutospacing="0" w:before="0" w:beforeAutospacing="0" w:line="253" w:lineRule="atLeast"/>
        <w:ind w:firstLine="567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Відп</w:t>
      </w:r>
      <w:r>
        <w:rPr>
          <w:color w:val="000000"/>
          <w:sz w:val="28"/>
          <w:szCs w:val="28"/>
        </w:rPr>
        <w:t xml:space="preserve">овідно до положень Бюджетного кодексу України, ст. 42, 50 Закону України «Про місцеве самоврядування в Україні», рішення 68 сесії Менської міської ради 8 скликання від 18 грудня 2025 року № 755 Про бюджет Менської міської територіальної громади на 2026 рік</w:t>
      </w:r>
      <w:r>
        <w:rPr>
          <w:color w:val="000000"/>
          <w:sz w:val="28"/>
          <w:szCs w:val="28"/>
        </w:rPr>
        <w:t xml:space="preserve">», 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рішення 7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 сесії Менської міської ради 8 скликання від</w:t>
      </w:r>
      <w:r>
        <w:rPr>
          <w:color w:val="000000"/>
          <w:sz w:val="28"/>
          <w:szCs w:val="28"/>
        </w:rPr>
        <w:t xml:space="preserve"> 24 лип</w:t>
      </w:r>
      <w:r>
        <w:rPr>
          <w:color w:val="000000"/>
          <w:sz w:val="28"/>
          <w:szCs w:val="28"/>
        </w:rPr>
        <w:t xml:space="preserve">ня 2026 року № </w:t>
      </w:r>
      <w:r>
        <w:rPr>
          <w:color w:val="000000"/>
          <w:sz w:val="28"/>
          <w:szCs w:val="28"/>
        </w:rPr>
        <w:t xml:space="preserve">449</w:t>
      </w:r>
      <w:r>
        <w:rPr>
          <w:color w:val="000000"/>
          <w:sz w:val="28"/>
          <w:szCs w:val="28"/>
        </w:rPr>
        <w:t xml:space="preserve"> «Про приймання майна у комунальну власність Менської міської територіальної громади»</w:t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Bdr/>
        <w:spacing/>
        <w:ind/>
        <w:rPr>
          <w:color w:val="000000"/>
          <w:szCs w:val="28"/>
        </w:rPr>
      </w:pPr>
      <w:r>
        <w:rPr>
          <w:color w:val="000000"/>
          <w:szCs w:val="28"/>
        </w:rPr>
        <w:t xml:space="preserve">1.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Збільшити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дохідну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частину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спеціального</w:t>
      </w:r>
      <w:r>
        <w:rPr>
          <w:color w:val="000000"/>
          <w:szCs w:val="28"/>
        </w:rPr>
        <w:t xml:space="preserve"> фонду </w:t>
      </w:r>
      <w:r>
        <w:rPr>
          <w:color w:val="000000"/>
          <w:szCs w:val="28"/>
        </w:rPr>
        <w:t xml:space="preserve">міської</w:t>
      </w:r>
      <w:r>
        <w:rPr>
          <w:color w:val="000000"/>
          <w:szCs w:val="28"/>
        </w:rPr>
        <w:t xml:space="preserve"> ради в </w:t>
      </w:r>
      <w:r>
        <w:rPr>
          <w:color w:val="000000"/>
          <w:szCs w:val="28"/>
        </w:rPr>
        <w:t xml:space="preserve">частині</w:t>
      </w:r>
      <w:r>
        <w:rPr>
          <w:color w:val="000000"/>
          <w:szCs w:val="28"/>
        </w:rPr>
        <w:t xml:space="preserve"> «</w:t>
      </w:r>
      <w:r>
        <w:rPr>
          <w:szCs w:val="28"/>
        </w:rPr>
        <w:t xml:space="preserve">Благодійні</w:t>
      </w:r>
      <w:r>
        <w:rPr>
          <w:szCs w:val="28"/>
        </w:rPr>
        <w:t xml:space="preserve"> </w:t>
      </w:r>
      <w:r>
        <w:rPr>
          <w:szCs w:val="28"/>
        </w:rPr>
        <w:t xml:space="preserve">внески</w:t>
      </w:r>
      <w:r>
        <w:rPr>
          <w:szCs w:val="28"/>
        </w:rPr>
        <w:t xml:space="preserve">, </w:t>
      </w:r>
      <w:r>
        <w:rPr>
          <w:szCs w:val="28"/>
        </w:rPr>
        <w:t xml:space="preserve">гранти</w:t>
      </w:r>
      <w:r>
        <w:rPr>
          <w:szCs w:val="28"/>
        </w:rPr>
        <w:t xml:space="preserve"> та </w:t>
      </w:r>
      <w:r>
        <w:rPr>
          <w:szCs w:val="28"/>
        </w:rPr>
        <w:t xml:space="preserve">дарунки</w:t>
      </w:r>
      <w:r>
        <w:rPr>
          <w:szCs w:val="28"/>
        </w:rPr>
        <w:t xml:space="preserve">» </w:t>
      </w:r>
      <w:r>
        <w:rPr>
          <w:b/>
          <w:bCs/>
          <w:color w:val="000000"/>
          <w:szCs w:val="28"/>
        </w:rPr>
        <w:t xml:space="preserve">код </w:t>
      </w:r>
      <w:r>
        <w:rPr>
          <w:b/>
          <w:bCs/>
          <w:color w:val="000000"/>
          <w:szCs w:val="28"/>
        </w:rPr>
        <w:t xml:space="preserve">доходів</w:t>
      </w:r>
      <w:r>
        <w:rPr>
          <w:b/>
          <w:bCs/>
          <w:color w:val="000000"/>
          <w:szCs w:val="28"/>
        </w:rPr>
        <w:t xml:space="preserve"> 25020100</w:t>
      </w:r>
      <w:r>
        <w:rPr>
          <w:color w:val="000000"/>
          <w:szCs w:val="28"/>
        </w:rPr>
        <w:t xml:space="preserve">)»  на суму </w:t>
      </w:r>
      <w:r>
        <w:rPr>
          <w:b/>
          <w:color w:val="000000"/>
          <w:szCs w:val="28"/>
        </w:rPr>
        <w:t xml:space="preserve">104 983,32</w:t>
      </w:r>
      <w:r>
        <w:rPr>
          <w:b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грн. </w:t>
      </w:r>
      <w:r>
        <w:rPr>
          <w:color w:val="000000"/>
          <w:szCs w:val="28"/>
        </w:rPr>
        <w:t xml:space="preserve">Відповідно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збільшити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видаткову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частину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спеціального</w:t>
      </w:r>
      <w:r>
        <w:rPr>
          <w:color w:val="000000"/>
          <w:szCs w:val="28"/>
        </w:rPr>
        <w:t xml:space="preserve"> фонду </w:t>
      </w:r>
      <w:r>
        <w:rPr>
          <w:color w:val="000000"/>
          <w:szCs w:val="28"/>
        </w:rPr>
        <w:t xml:space="preserve">міської</w:t>
      </w:r>
      <w:r>
        <w:rPr>
          <w:color w:val="000000"/>
          <w:szCs w:val="28"/>
        </w:rPr>
        <w:t xml:space="preserve"> ради по </w:t>
      </w:r>
      <w:r>
        <w:rPr>
          <w:szCs w:val="28"/>
        </w:rPr>
        <w:t xml:space="preserve">інших</w:t>
      </w:r>
      <w:r>
        <w:rPr>
          <w:szCs w:val="28"/>
        </w:rPr>
        <w:t xml:space="preserve"> заходах </w:t>
      </w:r>
      <w:r>
        <w:rPr>
          <w:szCs w:val="28"/>
        </w:rPr>
        <w:t xml:space="preserve">громадського</w:t>
      </w:r>
      <w:r>
        <w:rPr>
          <w:szCs w:val="28"/>
        </w:rPr>
        <w:t xml:space="preserve"> порядку та </w:t>
      </w:r>
      <w:r>
        <w:rPr>
          <w:szCs w:val="28"/>
        </w:rPr>
        <w:t xml:space="preserve">безпеки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на </w:t>
      </w:r>
      <w:r>
        <w:rPr>
          <w:color w:val="000000"/>
          <w:szCs w:val="28"/>
        </w:rPr>
        <w:t xml:space="preserve">таку</w:t>
      </w:r>
      <w:r>
        <w:rPr>
          <w:color w:val="000000"/>
          <w:szCs w:val="28"/>
        </w:rPr>
        <w:t xml:space="preserve"> ж суму, для оприбуткування: </w:t>
      </w:r>
      <w:r>
        <w:rPr>
          <w:color w:val="000000"/>
          <w:szCs w:val="28"/>
        </w:rPr>
        <w:t xml:space="preserve">з</w:t>
      </w:r>
      <w:r>
        <w:rPr>
          <w:color w:val="000000"/>
          <w:szCs w:val="28"/>
        </w:rPr>
        <w:t xml:space="preserve">арядна станція </w:t>
      </w:r>
      <w:r>
        <w:rPr>
          <w:color w:val="000000"/>
          <w:szCs w:val="28"/>
        </w:rPr>
        <w:t xml:space="preserve">Oukitel</w:t>
      </w:r>
      <w:r>
        <w:rPr>
          <w:color w:val="000000"/>
          <w:szCs w:val="28"/>
        </w:rPr>
        <w:t xml:space="preserve"> P2001E PLUS 2400W 2048Wh </w:t>
      </w:r>
      <w:r>
        <w:rPr>
          <w:color w:val="000000"/>
          <w:szCs w:val="28"/>
        </w:rPr>
        <w:t xml:space="preserve">- 1 шт.,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н</w:t>
      </w:r>
      <w:r>
        <w:rPr>
          <w:color w:val="000000"/>
          <w:szCs w:val="28"/>
        </w:rPr>
        <w:t xml:space="preserve">абір посуду преміум 7 предметів (10 тарілок, 10 мисок, 10 стаканів, 10 ложок, 10 виделок, 10 ножів, 10 </w:t>
      </w:r>
      <w:r>
        <w:rPr>
          <w:color w:val="000000"/>
          <w:szCs w:val="28"/>
        </w:rPr>
        <w:t xml:space="preserve">міш.</w:t>
      </w:r>
      <w:r>
        <w:rPr>
          <w:color w:val="000000"/>
          <w:szCs w:val="28"/>
        </w:rPr>
        <w:t xml:space="preserve">) - 20 шт., б</w:t>
      </w:r>
      <w:r>
        <w:rPr>
          <w:color w:val="000000"/>
          <w:szCs w:val="28"/>
        </w:rPr>
        <w:t xml:space="preserve">атарея універсальна </w:t>
      </w:r>
      <w:r>
        <w:rPr>
          <w:color w:val="000000"/>
          <w:szCs w:val="28"/>
        </w:rPr>
        <w:t xml:space="preserve">Intenso</w:t>
      </w:r>
      <w:r>
        <w:rPr>
          <w:color w:val="000000"/>
          <w:szCs w:val="28"/>
        </w:rPr>
        <w:t xml:space="preserve"> HE20000 20000mAh PD/3 0/100W </w:t>
      </w:r>
      <w:r>
        <w:rPr>
          <w:color w:val="000000"/>
          <w:szCs w:val="28"/>
        </w:rPr>
        <w:t xml:space="preserve">- 15 шт., </w:t>
      </w:r>
      <w:r>
        <w:rPr>
          <w:color w:val="000000"/>
          <w:szCs w:val="28"/>
        </w:rPr>
        <w:t xml:space="preserve">т</w:t>
      </w:r>
      <w:r>
        <w:rPr>
          <w:color w:val="000000"/>
          <w:szCs w:val="28"/>
        </w:rPr>
        <w:t xml:space="preserve">ермопот</w:t>
      </w:r>
      <w:r>
        <w:rPr>
          <w:color w:val="000000"/>
          <w:szCs w:val="28"/>
        </w:rPr>
        <w:t xml:space="preserve"> MYSTERY MTP-2442</w:t>
      </w:r>
      <w:r>
        <w:rPr>
          <w:color w:val="000000"/>
          <w:szCs w:val="28"/>
        </w:rPr>
        <w:t xml:space="preserve">-1 шт., </w:t>
      </w:r>
      <w:r>
        <w:rPr>
          <w:szCs w:val="28"/>
        </w:rPr>
        <w:t xml:space="preserve">к</w:t>
      </w:r>
      <w:r>
        <w:rPr>
          <w:szCs w:val="28"/>
        </w:rPr>
        <w:t xml:space="preserve">омплект «Набір гігієнічний транзитний»</w:t>
      </w:r>
      <w:r>
        <w:rPr>
          <w:szCs w:val="28"/>
        </w:rPr>
        <w:t xml:space="preserve"> - 30 шт., </w:t>
      </w:r>
      <w:r>
        <w:rPr>
          <w:color w:val="000000"/>
          <w:szCs w:val="28"/>
        </w:rPr>
        <w:t xml:space="preserve">л</w:t>
      </w:r>
      <w:r>
        <w:rPr>
          <w:color w:val="000000"/>
          <w:szCs w:val="28"/>
        </w:rPr>
        <w:t xml:space="preserve">іхтар переносний (</w:t>
      </w:r>
      <w:r>
        <w:rPr>
          <w:color w:val="000000"/>
          <w:szCs w:val="28"/>
        </w:rPr>
        <w:t xml:space="preserve">pawer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bank</w:t>
      </w:r>
      <w:r>
        <w:rPr>
          <w:color w:val="000000"/>
          <w:szCs w:val="28"/>
        </w:rPr>
        <w:t xml:space="preserve">) </w:t>
      </w:r>
      <w:r>
        <w:rPr>
          <w:color w:val="000000"/>
          <w:szCs w:val="28"/>
        </w:rPr>
        <w:t xml:space="preserve">- 10 шт.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960"/>
        <w:pBdr/>
        <w:tabs>
          <w:tab w:val="left" w:leader="none" w:pos="0"/>
        </w:tabs>
        <w:spacing w:after="0" w:afterAutospacing="0" w:before="0" w:beforeAutospacing="0" w:line="253" w:lineRule="atLeast"/>
        <w:ind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КПКВК МБ </w:t>
      </w:r>
      <w:r>
        <w:rPr>
          <w:b/>
          <w:bCs/>
          <w:color w:val="000000"/>
          <w:sz w:val="28"/>
          <w:szCs w:val="28"/>
        </w:rPr>
        <w:t xml:space="preserve">011</w:t>
      </w:r>
      <w:r>
        <w:rPr>
          <w:b/>
          <w:bCs/>
          <w:color w:val="000000"/>
          <w:sz w:val="28"/>
          <w:szCs w:val="28"/>
          <w:lang w:val="uk-UA"/>
        </w:rPr>
        <w:t xml:space="preserve">8230</w:t>
      </w:r>
      <w:r>
        <w:rPr>
          <w:b/>
          <w:bCs/>
          <w:color w:val="000000"/>
          <w:sz w:val="28"/>
          <w:szCs w:val="28"/>
        </w:rPr>
        <w:t xml:space="preserve"> КЕКВ </w:t>
      </w:r>
      <w:r>
        <w:rPr>
          <w:b/>
          <w:bCs/>
          <w:color w:val="000000"/>
          <w:sz w:val="28"/>
          <w:szCs w:val="28"/>
          <w:lang w:val="uk-UA"/>
        </w:rPr>
        <w:t xml:space="preserve">22</w:t>
      </w:r>
      <w:r>
        <w:rPr>
          <w:b/>
          <w:bCs/>
          <w:color w:val="000000"/>
          <w:sz w:val="28"/>
          <w:szCs w:val="28"/>
        </w:rPr>
        <w:t xml:space="preserve">10-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56 287,32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грн</w:t>
      </w:r>
      <w:r>
        <w:rPr>
          <w:b/>
          <w:bCs/>
          <w:color w:val="000000"/>
          <w:sz w:val="28"/>
          <w:szCs w:val="28"/>
          <w:lang w:val="uk-UA"/>
        </w:rPr>
        <w:t xml:space="preserve">.</w:t>
      </w:r>
      <w:r>
        <w:rPr>
          <w:b/>
          <w:bCs/>
          <w:color w:val="000000"/>
          <w:sz w:val="28"/>
          <w:szCs w:val="28"/>
          <w:lang w:val="uk-UA"/>
        </w:rPr>
        <w:t xml:space="preserve">, </w:t>
      </w:r>
      <w:r>
        <w:rPr>
          <w:b/>
          <w:bCs/>
          <w:color w:val="000000"/>
          <w:sz w:val="28"/>
          <w:szCs w:val="28"/>
        </w:rPr>
        <w:t xml:space="preserve">КЕКВ </w:t>
      </w:r>
      <w:r>
        <w:rPr>
          <w:b/>
          <w:bCs/>
          <w:color w:val="000000"/>
          <w:sz w:val="28"/>
          <w:szCs w:val="28"/>
          <w:lang w:val="uk-UA"/>
        </w:rPr>
        <w:t xml:space="preserve">31</w:t>
      </w:r>
      <w:r>
        <w:rPr>
          <w:b/>
          <w:bCs/>
          <w:color w:val="000000"/>
          <w:sz w:val="28"/>
          <w:szCs w:val="28"/>
        </w:rPr>
        <w:t xml:space="preserve">10-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48 696,00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грн</w:t>
      </w:r>
      <w:r>
        <w:rPr>
          <w:b/>
          <w:bCs/>
          <w:color w:val="000000"/>
          <w:sz w:val="28"/>
          <w:szCs w:val="28"/>
          <w:lang w:val="uk-UA"/>
        </w:rP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60"/>
        <w:pBdr/>
        <w:tabs>
          <w:tab w:val="left" w:leader="none" w:pos="0"/>
        </w:tabs>
        <w:spacing w:after="0" w:afterAutospacing="0" w:before="0" w:beforeAutospacing="0" w:line="253" w:lineRule="atLeast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2</w:t>
      </w:r>
      <w:r>
        <w:rPr>
          <w:color w:val="000000"/>
          <w:sz w:val="28"/>
          <w:szCs w:val="28"/>
        </w:rPr>
        <w:t xml:space="preserve">. Контроль за </w:t>
      </w:r>
      <w:r>
        <w:rPr>
          <w:color w:val="000000"/>
          <w:sz w:val="28"/>
          <w:szCs w:val="28"/>
        </w:rPr>
        <w:t xml:space="preserve">виконанням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розпорядження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залишаю за собою</w:t>
      </w:r>
      <w:r>
        <w:rPr>
          <w:color w:val="000000"/>
          <w:sz w:val="28"/>
          <w:szCs w:val="28"/>
          <w:lang w:val="uk-UA"/>
        </w:rPr>
        <w:t xml:space="preserve">.</w:t>
      </w:r>
      <w:r>
        <w:rPr>
          <w:lang w:val="uk-UA"/>
        </w:rPr>
      </w:r>
      <w:r>
        <w:rPr>
          <w:lang w:val="uk-UA"/>
        </w:rPr>
      </w:r>
    </w:p>
    <w:p>
      <w:p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 w:line="253" w:lineRule="atLeast"/>
        <w:ind w:firstLine="0"/>
        <w:rPr>
          <w:rFonts w:eastAsia="MS Gothic"/>
          <w:b/>
          <w:color w:val="000000"/>
          <w:szCs w:val="28"/>
        </w:rPr>
      </w:pP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</w:p>
    <w:p>
      <w:p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 w:line="253" w:lineRule="atLeast"/>
        <w:ind w:firstLine="0"/>
        <w:rPr>
          <w:rFonts w:eastAsia="MS Gothic"/>
          <w:b/>
          <w:color w:val="000000"/>
          <w:szCs w:val="28"/>
        </w:rPr>
      </w:pP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</w:p>
    <w:p>
      <w:pPr>
        <w:pBdr>
          <w:top w:val="none" w:color="000000" w:sz="4" w:space="1"/>
          <w:right w:val="none" w:color="000000" w:sz="4" w:space="1"/>
        </w:pBdr>
        <w:tabs>
          <w:tab w:val="clear" w:leader="none" w:pos="1134"/>
          <w:tab w:val="left" w:leader="none" w:pos="6803"/>
        </w:tabs>
        <w:spacing/>
        <w:ind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Секретар ради                                                                   Юрій СТАЛЬНИЧЕНКО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851" w:right="567" w:bottom="28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Mangal">
    <w:panose1 w:val="02040503050406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SimSun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1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Plain Table 1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28">
    <w:name w:val="Intense Emphasis"/>
    <w:basedOn w:val="7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9">
    <w:name w:val="Intense Reference"/>
    <w:basedOn w:val="7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0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32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33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>
    <w:name w:val="FollowedHyperlink"/>
    <w:basedOn w:val="7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37">
    <w:name w:val="Heading 1"/>
    <w:basedOn w:val="736"/>
    <w:next w:val="736"/>
    <w:link w:val="89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89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89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90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90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90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90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 w:customStyle="1">
    <w:name w:val="Heading 1 Char"/>
    <w:basedOn w:val="74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0" w:customStyle="1">
    <w:name w:val="Heading 2 Char"/>
    <w:basedOn w:val="74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1" w:customStyle="1">
    <w:name w:val="Heading 3 Char"/>
    <w:basedOn w:val="74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2" w:customStyle="1">
    <w:name w:val="Heading 4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Heading 5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Heading 6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7 Char"/>
    <w:basedOn w:val="74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Heading 8 Char"/>
    <w:basedOn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Heading 9 Char"/>
    <w:basedOn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Title Char"/>
    <w:basedOn w:val="746"/>
    <w:uiPriority w:val="10"/>
    <w:pPr>
      <w:pBdr/>
      <w:spacing/>
      <w:ind/>
    </w:pPr>
    <w:rPr>
      <w:sz w:val="48"/>
      <w:szCs w:val="48"/>
    </w:rPr>
  </w:style>
  <w:style w:type="character" w:styleId="759" w:customStyle="1">
    <w:name w:val="Subtitle Char"/>
    <w:basedOn w:val="746"/>
    <w:uiPriority w:val="11"/>
    <w:pPr>
      <w:pBdr/>
      <w:spacing/>
      <w:ind/>
    </w:pPr>
    <w:rPr>
      <w:sz w:val="24"/>
      <w:szCs w:val="24"/>
    </w:rPr>
  </w:style>
  <w:style w:type="character" w:styleId="760" w:customStyle="1">
    <w:name w:val="Quote Char"/>
    <w:uiPriority w:val="29"/>
    <w:pPr>
      <w:pBdr/>
      <w:spacing/>
      <w:ind/>
    </w:pPr>
    <w:rPr>
      <w:i/>
    </w:rPr>
  </w:style>
  <w:style w:type="character" w:styleId="761" w:customStyle="1">
    <w:name w:val="Intense Quote Char"/>
    <w:uiPriority w:val="30"/>
    <w:pPr>
      <w:pBdr/>
      <w:spacing/>
      <w:ind/>
    </w:pPr>
    <w:rPr>
      <w:i/>
    </w:rPr>
  </w:style>
  <w:style w:type="character" w:styleId="762" w:customStyle="1">
    <w:name w:val="Header Char"/>
    <w:basedOn w:val="746"/>
    <w:uiPriority w:val="99"/>
    <w:pPr>
      <w:pBdr/>
      <w:spacing/>
      <w:ind/>
    </w:pPr>
  </w:style>
  <w:style w:type="character" w:styleId="763" w:customStyle="1">
    <w:name w:val="Footer Char"/>
    <w:basedOn w:val="746"/>
    <w:uiPriority w:val="99"/>
    <w:pPr>
      <w:pBdr/>
      <w:spacing/>
      <w:ind/>
    </w:pPr>
  </w:style>
  <w:style w:type="table" w:styleId="764" w:customStyle="1">
    <w:name w:val="Звичайна таблиця 1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Звичайна таблиця 21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Звичайна таблиця 5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Сітка таблиці 1 (світл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ітка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ітка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Таблиця-сітка 4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Сітка таблиці 5 (темн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Сітка таблиці 6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Сітка таблиці 7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писок таблиці 1 (світл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Список таблиці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Список таблиці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Список таблиці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Список таблиці 5 (темн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Список таблиці 6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Список таблиці 7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3" w:customStyle="1">
    <w:name w:val="Footnote Text Char"/>
    <w:uiPriority w:val="99"/>
    <w:pPr>
      <w:pBdr/>
      <w:spacing/>
      <w:ind/>
    </w:pPr>
    <w:rPr>
      <w:sz w:val="18"/>
    </w:rPr>
  </w:style>
  <w:style w:type="character" w:styleId="784" w:customStyle="1">
    <w:name w:val="Endnote Text Char"/>
    <w:uiPriority w:val="99"/>
    <w:pPr>
      <w:pBdr/>
      <w:spacing/>
      <w:ind/>
    </w:pPr>
    <w:rPr>
      <w:sz w:val="20"/>
    </w:rPr>
  </w:style>
  <w:style w:type="paragraph" w:styleId="785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6" w:customStyle="1">
    <w:name w:val="Caption Char"/>
    <w:uiPriority w:val="99"/>
    <w:pPr>
      <w:pBdr/>
      <w:spacing/>
      <w:ind/>
    </w:pPr>
  </w:style>
  <w:style w:type="paragraph" w:styleId="787">
    <w:name w:val="endnote text"/>
    <w:basedOn w:val="736"/>
    <w:link w:val="788"/>
    <w:uiPriority w:val="99"/>
    <w:semiHidden/>
    <w:unhideWhenUsed/>
    <w:pPr>
      <w:pBdr/>
      <w:spacing/>
      <w:ind/>
    </w:pPr>
    <w:rPr>
      <w:sz w:val="20"/>
    </w:rPr>
  </w:style>
  <w:style w:type="character" w:styleId="788" w:customStyle="1">
    <w:name w:val="Текст кінцевої виноски Знак"/>
    <w:link w:val="787"/>
    <w:uiPriority w:val="99"/>
    <w:pPr>
      <w:pBdr/>
      <w:spacing/>
      <w:ind/>
    </w:pPr>
    <w:rPr>
      <w:sz w:val="20"/>
    </w:rPr>
  </w:style>
  <w:style w:type="character" w:styleId="789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790">
    <w:name w:val="table of figures"/>
    <w:basedOn w:val="736"/>
    <w:next w:val="736"/>
    <w:uiPriority w:val="99"/>
    <w:unhideWhenUsed/>
    <w:pPr>
      <w:pBdr/>
      <w:spacing/>
      <w:ind/>
    </w:pPr>
  </w:style>
  <w:style w:type="table" w:styleId="791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Звичайна таблиця 1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Звичайна таблиця 21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Звичайна таблиця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Звичайна таблиця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5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Таблиця-сітка 1 (світл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ітка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ітка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я-сітка 4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Таблиця-сітка 5 (темн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я-сітка 6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Таблиця-сітка 7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я-список 1 (світл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я-список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Таблиця-список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Таблиця-список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писок 5 (темн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писок 6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я-список 7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7" w:customStyle="1">
    <w:name w:val="Заголовок 1 Знак"/>
    <w:basedOn w:val="746"/>
    <w:link w:val="7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98" w:customStyle="1">
    <w:name w:val="Заголовок 2 Знак"/>
    <w:basedOn w:val="746"/>
    <w:link w:val="7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99" w:customStyle="1">
    <w:name w:val="Заголовок 3 Знак"/>
    <w:basedOn w:val="746"/>
    <w:link w:val="7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0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01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02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03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04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05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06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907">
    <w:name w:val="No Spacing"/>
    <w:uiPriority w:val="1"/>
    <w:qFormat/>
    <w:pPr>
      <w:pBdr/>
      <w:spacing w:after="0" w:line="240" w:lineRule="auto"/>
      <w:ind/>
    </w:pPr>
  </w:style>
  <w:style w:type="paragraph" w:styleId="908">
    <w:name w:val="Title"/>
    <w:basedOn w:val="736"/>
    <w:next w:val="736"/>
    <w:link w:val="90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09" w:customStyle="1">
    <w:name w:val="Назва Знак"/>
    <w:basedOn w:val="746"/>
    <w:link w:val="908"/>
    <w:uiPriority w:val="10"/>
    <w:pPr>
      <w:pBdr/>
      <w:spacing/>
      <w:ind/>
    </w:pPr>
    <w:rPr>
      <w:sz w:val="48"/>
      <w:szCs w:val="48"/>
    </w:rPr>
  </w:style>
  <w:style w:type="paragraph" w:styleId="910">
    <w:name w:val="Subtitle"/>
    <w:basedOn w:val="736"/>
    <w:next w:val="736"/>
    <w:link w:val="91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11" w:customStyle="1">
    <w:name w:val="Підзаголовок Знак"/>
    <w:basedOn w:val="746"/>
    <w:link w:val="910"/>
    <w:uiPriority w:val="11"/>
    <w:pPr>
      <w:pBdr/>
      <w:spacing/>
      <w:ind/>
    </w:pPr>
    <w:rPr>
      <w:sz w:val="24"/>
      <w:szCs w:val="24"/>
    </w:rPr>
  </w:style>
  <w:style w:type="paragraph" w:styleId="912">
    <w:name w:val="Quote"/>
    <w:basedOn w:val="736"/>
    <w:next w:val="736"/>
    <w:link w:val="913"/>
    <w:uiPriority w:val="29"/>
    <w:qFormat/>
    <w:pPr>
      <w:pBdr/>
      <w:spacing/>
      <w:ind w:right="720" w:left="720"/>
    </w:pPr>
    <w:rPr>
      <w:i/>
    </w:rPr>
  </w:style>
  <w:style w:type="character" w:styleId="913" w:customStyle="1">
    <w:name w:val="Цитата Знак"/>
    <w:link w:val="912"/>
    <w:uiPriority w:val="29"/>
    <w:pPr>
      <w:pBdr/>
      <w:spacing/>
      <w:ind/>
    </w:pPr>
    <w:rPr>
      <w:i/>
    </w:rPr>
  </w:style>
  <w:style w:type="paragraph" w:styleId="914">
    <w:name w:val="Intense Quote"/>
    <w:basedOn w:val="736"/>
    <w:next w:val="736"/>
    <w:link w:val="9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5" w:customStyle="1">
    <w:name w:val="Насичена цитата Знак"/>
    <w:link w:val="914"/>
    <w:uiPriority w:val="30"/>
    <w:pPr>
      <w:pBdr/>
      <w:spacing/>
      <w:ind/>
    </w:pPr>
    <w:rPr>
      <w:i/>
    </w:rPr>
  </w:style>
  <w:style w:type="paragraph" w:styleId="916">
    <w:name w:val="Header"/>
    <w:basedOn w:val="736"/>
    <w:link w:val="91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7" w:customStyle="1">
    <w:name w:val="Верхній колонтитул Знак"/>
    <w:basedOn w:val="746"/>
    <w:link w:val="916"/>
    <w:uiPriority w:val="99"/>
    <w:pPr>
      <w:pBdr/>
      <w:spacing/>
      <w:ind/>
    </w:pPr>
  </w:style>
  <w:style w:type="paragraph" w:styleId="918">
    <w:name w:val="Footer"/>
    <w:basedOn w:val="736"/>
    <w:link w:val="91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9" w:customStyle="1">
    <w:name w:val="Нижній колонтитул Знак"/>
    <w:basedOn w:val="746"/>
    <w:link w:val="918"/>
    <w:uiPriority w:val="99"/>
    <w:pPr>
      <w:pBdr/>
      <w:spacing/>
      <w:ind/>
    </w:pPr>
  </w:style>
  <w:style w:type="table" w:styleId="920">
    <w:name w:val="Table Grid"/>
    <w:basedOn w:val="74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3">
    <w:name w:val="footnote text"/>
    <w:basedOn w:val="736"/>
    <w:link w:val="944"/>
    <w:uiPriority w:val="99"/>
    <w:semiHidden/>
    <w:unhideWhenUsed/>
    <w:pPr>
      <w:pBdr/>
      <w:spacing w:after="40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47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48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49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50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51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52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53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54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>
    <w:name w:val="Balloon Text"/>
    <w:basedOn w:val="736"/>
    <w:link w:val="95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46"/>
    <w:link w:val="956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958" w:customStyle="1">
    <w:name w:val="docdata"/>
    <w:basedOn w:val="736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tabs>
        <w:tab w:val="clear" w:leader="none" w:pos="1134"/>
      </w:tabs>
      <w:spacing w:after="100" w:afterAutospacing="1" w:before="100" w:beforeAutospacing="1"/>
      <w:ind w:firstLine="0"/>
      <w:jc w:val="left"/>
    </w:pPr>
    <w:rPr>
      <w:sz w:val="24"/>
      <w:szCs w:val="24"/>
      <w:lang w:eastAsia="uk-UA"/>
    </w:rPr>
  </w:style>
  <w:style w:type="character" w:styleId="959" w:customStyle="1">
    <w:name w:val="docy"/>
    <w:basedOn w:val="746"/>
    <w:pPr>
      <w:pBdr/>
      <w:spacing/>
      <w:ind/>
    </w:pPr>
  </w:style>
  <w:style w:type="paragraph" w:styleId="960">
    <w:name w:val="Normal (Web)"/>
    <w:basedOn w:val="736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tabs>
        <w:tab w:val="clear" w:leader="none" w:pos="1134"/>
      </w:tabs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  <w:style w:type="character" w:styleId="961" w:customStyle="1">
    <w:name w:val="Другое_"/>
    <w:basedOn w:val="746"/>
    <w:link w:val="962"/>
    <w:pPr>
      <w:pBdr/>
      <w:spacing/>
      <w:ind/>
    </w:pPr>
    <w:rPr>
      <w:rFonts w:ascii="Arial" w:hAnsi="Arial" w:eastAsia="Arial" w:cs="Arial"/>
      <w:i/>
      <w:iCs/>
      <w:sz w:val="16"/>
      <w:szCs w:val="16"/>
    </w:rPr>
  </w:style>
  <w:style w:type="paragraph" w:styleId="962" w:customStyle="1">
    <w:name w:val="Другое"/>
    <w:basedOn w:val="736"/>
    <w:link w:val="961"/>
    <w:pPr>
      <w:widowControl w:val="fals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1134"/>
      </w:tabs>
      <w:spacing/>
      <w:ind w:firstLine="0"/>
      <w:jc w:val="left"/>
    </w:pPr>
    <w:rPr>
      <w:rFonts w:ascii="Arial" w:hAnsi="Arial" w:eastAsia="Arial" w:cs="Arial"/>
      <w:i/>
      <w:iCs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C5AA1BD4-D58D-4AAB-82BA-D7DF1DF4F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8500208-86BA-4210-AFD0-B6BA7033FA93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Крамаренко Валентина Віталіївна</cp:lastModifiedBy>
  <cp:revision>597</cp:revision>
  <dcterms:created xsi:type="dcterms:W3CDTF">2023-07-19T09:50:00Z</dcterms:created>
  <dcterms:modified xsi:type="dcterms:W3CDTF">2026-07-27T13:10:21Z</dcterms:modified>
</cp:coreProperties>
</file>