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  <w:lang w:eastAsia="hi-IN" w:bidi="hi-IN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  <w:lang w:eastAsia="hi-IN" w:bidi="hi-IN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hi-IN" w:bidi="hi-IN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hi-IN" w:bidi="hi-IN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  <w:r>
        <w:rPr>
          <w:rFonts w:ascii="Times New Roman" w:hAnsi="Times New Roman" w:cs="Times New Roman"/>
          <w:color w:val="000000"/>
          <w:sz w:val="16"/>
          <w:szCs w:val="16"/>
        </w:rPr>
      </w:r>
      <w:r>
        <w:rPr>
          <w:rFonts w:ascii="Times New Roman" w:hAnsi="Times New Roman" w:cs="Times New Roman"/>
          <w:color w:val="000000"/>
          <w:sz w:val="16"/>
          <w:szCs w:val="16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липня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hi-IN" w:bidi="hi-IN"/>
        </w:rPr>
        <w:t xml:space="preserve">2026 року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hi-IN" w:bidi="hi-IN"/>
        </w:rPr>
        <w:tab/>
        <w:t xml:space="preserve">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hi-IN" w:bidi="hi-I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hi-IN" w:bidi="hi-IN"/>
        </w:rPr>
        <w:tab/>
        <w:t xml:space="preserve"> №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hi-IN" w:bidi="hi-IN"/>
        </w:rPr>
        <w:t xml:space="preserve">203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 xml:space="preserve">Про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 xml:space="preserve">проведення інвентаризації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 xml:space="preserve">та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 xml:space="preserve">перегляд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 xml:space="preserve"> актів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Керуючись ст. ст. 42, 50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Закону України «Про міс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цеве самоврядування в Україні»,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 метою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приведення нормативно-правових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організаційно-розпорядчих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актів, що утворились в діяльності міської рад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и, її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виконавчого комітету, у відповідність до вимог чинного законодавства України, усунення застарілих або дублюючих норм, а також оптимізації управлінських процесів: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1.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Створити робочу групу з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питань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перегляду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нормативно-правових, організаційно-розпорядчих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актів, що утворились в результаті діяльності міської ради та її виконавчого комітету,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слідуючому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складі: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Голова робочої групи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Стародуб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Людмила Олександрівна, керуючий справами виконавчого комітету Менської міської ради;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Секретар робочої групи –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Четвертакова Наталія Вікторівна, начальник відділу документування та забезпечення діяльності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апарату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ради Менської міської ради;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Члени робочої групи –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Марцева Тетяна Іванівна, начальник юридичного відділу Менської міської ради;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Єкименко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Ірина Валеріївна, начальник відділу житлово-комунального господарства та комунального майна Менської міської ради;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Скирта Оксана Віталіївна, начальник від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ділу земельних відносин,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арго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промислового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комплекту та екології Менської міської ради;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Карпенко Тетяна Володимирівна, заступник начальника відділу міжнародного співробітництва та економічного розвитку Менської міської ради.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       2. Робочій групі провести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інвентаризацію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нормативно-правових, організаційно-розпорядчих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актів, що утворились в результаті діяльності міської ради та її виконавчого комітету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, здійснити їх аналіз на відповідність нормам чинного законодавства та виявити акти, що втратили актуальність.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За результа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тами роботи надати пропозиції щодо їх перегляду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, скасування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або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визнання такими, що втратили чинність.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      3. Керівникам структурних підрозділів міської ради, виконавчих органів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ради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(з правом юридичної особи)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надати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до 01 вересня 2026 року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перелік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нормативно-правових, організаційно-розпорядчих актів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(рішень Менської міської ради, виконавчого комітету, розпоряджень міського голови)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відповідно до їх профілю роботи. 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раховуючи пропозиції робочої групи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щодо актуально</w:t>
      </w:r>
      <w:bookmarkStart w:id="0" w:name="_GoBack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сті актів та їх відповідності нормам чинного законодавства,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підготувати проекти рішень, розпоряджень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щодо перегляду чи скасування актів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на сесію, засідання виконавчого комітету, секретарю ради.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       4. Контроль за виконанням розпорядження залишаю за собою.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tabs>
          <w:tab w:val="left" w:leader="none" w:pos="6520"/>
        </w:tabs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Секретар ради                                                        </w:t>
        <w:tab/>
        <w:t xml:space="preserve">Юрій СТАЛЬНИЧЕНКО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 w:line="240" w:lineRule="auto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br w:type="page" w:clear="all"/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 xml:space="preserve">Про проведення інвентаризації та перегляду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br/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 xml:space="preserve">локальних нормативно-правових та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br/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 xml:space="preserve">організаційно-розпорядчих актів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Керуючись пунктом 20 частини четвертої статті 42 </w:t>
      </w:r>
      <w:hyperlink r:id="rId11" w:tooltip="https://zakon.rada.gov.ua/go/280/97-%D0%B2%D1%80/ed20250828" w:history="1">
        <w:r>
          <w:rPr>
            <w:rFonts w:ascii="Times New Roman" w:hAnsi="Times New Roman" w:eastAsia="Times New Roman" w:cs="Times New Roman"/>
            <w:color w:val="0000ff"/>
            <w:sz w:val="28"/>
            <w:szCs w:val="28"/>
            <w:u w:val="single"/>
            <w:lang w:eastAsia="uk-UA"/>
          </w:rPr>
          <w:t xml:space="preserve">Закону України «Про місцеве самоврядування в Україні»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, з метою приведення нормативно-правових, організаційно-розпорядчих та інших локальних актів [міської ради] у відповідність до вимог чинного законодавства України, усунення застарілих або дублюючих норм, а також оптимізації управлінських процесів: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pBdr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 xml:space="preserve">Створити робочу групу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з питань перегляду локальних актів міської ради (далі — Робоча група) у складі згідно з Додатком до цього розпорядження.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pBdr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 xml:space="preserve">Робочій групі у строк до [Дата, наприклад: 01.10.2026] року: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"/>
        </w:numPr>
        <w:pBdr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Провести повну інвентаризацію чинних рішень міської ради, її виконавчого комітету та розпоряджень міського голови нормативно-правового й організаційного характеру.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"/>
        </w:numPr>
        <w:pBdr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Здійснити аналіз локальних актів на відповідність актуальним нормам Конституції України, кодексів та законів України.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"/>
        </w:numPr>
        <w:pBdr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Виявити акти, що втратили актуальність, містять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корупціогенні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фактори або суперечать чинному законодавству.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"/>
        </w:numPr>
        <w:pBdr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Розробити рекомендації щодо скасування, внесення змін або викладення у новій редакції переглянутих документів.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pBdr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 xml:space="preserve">Керівникам самостійних відділів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, управлінь та інших структурних підрозділів міської ради: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"/>
        </w:numPr>
        <w:pBdr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Надати Робочій групі у строк до [Дата] року вичерпний перелік профільних локальних актів (положень, інструкцій, регламентів, порядків), що регулюють діяльність підрозділів.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"/>
        </w:numPr>
        <w:pBdr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Забезпечити підготовку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проєктів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рішень чи розпоряджень про внесення змін або визнання такими, що втратили чинність, за результатами висновків Робочої групи.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pBdr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 xml:space="preserve">Головному спеціалісту з питань інформаційної політики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(або відповідальному за сайт підрозділу) забезпечити оприлюднення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проєктів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актів, розроблених на виконання цього розпорядження, на офіційному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вебсайті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міської ради у терміни, визначені </w:t>
      </w:r>
      <w:hyperlink r:id="rId12" w:tooltip="https://drs.gov.ua/regulatory_policy/roz-yasnennya-shhodo-oprylyudnennya-proektiv-rishen-organiv-mistsevogo-samovryaduvannya/" w:history="1">
        <w:r>
          <w:rPr>
            <w:rFonts w:ascii="Times New Roman" w:hAnsi="Times New Roman" w:eastAsia="Times New Roman" w:cs="Times New Roman"/>
            <w:color w:val="0000ff"/>
            <w:sz w:val="28"/>
            <w:szCs w:val="28"/>
            <w:u w:val="single"/>
            <w:lang w:eastAsia="uk-UA"/>
          </w:rPr>
          <w:t xml:space="preserve">Законом України «Про доступ до публічної інформації»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pBdr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 xml:space="preserve">Контроль за виконанням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цього розпорядження покласти на секретаря міської ради [Прізвище, ініціали] або заступника міського голови з питань діяльності виконавчих органів ради за напрямком.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34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55787674"/>
      <w:docPartObj>
        <w:docPartGallery w:val="Page Numbers (Top of Page)"/>
        <w:docPartUnique w:val="true"/>
      </w:docPartObj>
      <w:rPr/>
    </w:sdtPr>
    <w:sdtContent>
      <w:p>
        <w:pPr>
          <w:pStyle w:val="889"/>
          <w:pBdr/>
          <w:spacing/>
          <w:ind/>
          <w:jc w:val="center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 xml:space="preserve">2</w:t>
        </w:r>
        <w:r>
          <w:fldChar w:fldCharType="end"/>
        </w:r>
        <w:r/>
      </w:p>
    </w:sdtContent>
  </w:sdt>
  <w:p>
    <w:pPr>
      <w:pStyle w:val="88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pBdr/>
      <w:spacing/>
      <w:ind/>
      <w:rPr/>
    </w:pPr>
    <w:r>
      <w:t xml:space="preserve">                                                                                        </w:t>
    </w: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47675" cy="619125"/>
              <wp:effectExtent l="0" t="0" r="9525" b="9525"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Рисунок 5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47675" cy="6191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5.25pt;height:48.7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4">
    <w:name w:val="Table Grid"/>
    <w:basedOn w:val="88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Table Grid Light"/>
    <w:basedOn w:val="88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1"/>
    <w:basedOn w:val="88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2"/>
    <w:basedOn w:val="88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1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2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3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4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5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6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1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2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3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4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5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6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1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2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3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4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5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6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0">
    <w:name w:val="Heading 1"/>
    <w:basedOn w:val="885"/>
    <w:next w:val="885"/>
    <w:link w:val="8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41">
    <w:name w:val="Heading 2"/>
    <w:basedOn w:val="885"/>
    <w:next w:val="885"/>
    <w:link w:val="8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2">
    <w:name w:val="Heading 3"/>
    <w:basedOn w:val="885"/>
    <w:next w:val="885"/>
    <w:link w:val="8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3">
    <w:name w:val="Heading 4"/>
    <w:basedOn w:val="885"/>
    <w:next w:val="885"/>
    <w:link w:val="8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4">
    <w:name w:val="Heading 5"/>
    <w:basedOn w:val="885"/>
    <w:next w:val="885"/>
    <w:link w:val="8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5">
    <w:name w:val="Heading 6"/>
    <w:basedOn w:val="885"/>
    <w:next w:val="885"/>
    <w:link w:val="8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6">
    <w:name w:val="Heading 7"/>
    <w:basedOn w:val="885"/>
    <w:next w:val="885"/>
    <w:link w:val="8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7">
    <w:name w:val="Heading 8"/>
    <w:basedOn w:val="885"/>
    <w:next w:val="885"/>
    <w:link w:val="8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8">
    <w:name w:val="Heading 9"/>
    <w:basedOn w:val="885"/>
    <w:next w:val="885"/>
    <w:link w:val="8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9">
    <w:name w:val="Heading 1 Char"/>
    <w:basedOn w:val="886"/>
    <w:link w:val="8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0">
    <w:name w:val="Heading 2 Char"/>
    <w:basedOn w:val="886"/>
    <w:link w:val="8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1">
    <w:name w:val="Heading 3 Char"/>
    <w:basedOn w:val="886"/>
    <w:link w:val="8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2">
    <w:name w:val="Heading 4 Char"/>
    <w:basedOn w:val="886"/>
    <w:link w:val="84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3">
    <w:name w:val="Heading 5 Char"/>
    <w:basedOn w:val="886"/>
    <w:link w:val="84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4">
    <w:name w:val="Heading 6 Char"/>
    <w:basedOn w:val="886"/>
    <w:link w:val="84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5">
    <w:name w:val="Heading 7 Char"/>
    <w:basedOn w:val="886"/>
    <w:link w:val="84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6">
    <w:name w:val="Heading 8 Char"/>
    <w:basedOn w:val="886"/>
    <w:link w:val="8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7">
    <w:name w:val="Heading 9 Char"/>
    <w:basedOn w:val="886"/>
    <w:link w:val="8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8">
    <w:name w:val="Title"/>
    <w:basedOn w:val="885"/>
    <w:next w:val="885"/>
    <w:link w:val="8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9">
    <w:name w:val="Title Char"/>
    <w:basedOn w:val="886"/>
    <w:link w:val="8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0">
    <w:name w:val="Subtitle"/>
    <w:basedOn w:val="885"/>
    <w:next w:val="885"/>
    <w:link w:val="8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1">
    <w:name w:val="Subtitle Char"/>
    <w:basedOn w:val="886"/>
    <w:link w:val="8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2">
    <w:name w:val="Quote"/>
    <w:basedOn w:val="885"/>
    <w:next w:val="885"/>
    <w:link w:val="8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3">
    <w:name w:val="Quote Char"/>
    <w:basedOn w:val="886"/>
    <w:link w:val="8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4">
    <w:name w:val="Intense Emphasis"/>
    <w:basedOn w:val="88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5">
    <w:name w:val="Intense Quote"/>
    <w:basedOn w:val="885"/>
    <w:next w:val="885"/>
    <w:link w:val="86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6">
    <w:name w:val="Intense Quote Char"/>
    <w:basedOn w:val="886"/>
    <w:link w:val="86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7">
    <w:name w:val="Intense Reference"/>
    <w:basedOn w:val="88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8">
    <w:name w:val="No Spacing"/>
    <w:basedOn w:val="885"/>
    <w:uiPriority w:val="1"/>
    <w:qFormat/>
    <w:pPr>
      <w:pBdr/>
      <w:spacing w:after="0" w:line="240" w:lineRule="auto"/>
      <w:ind/>
    </w:pPr>
  </w:style>
  <w:style w:type="character" w:styleId="869">
    <w:name w:val="Subtle Emphasis"/>
    <w:basedOn w:val="88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0">
    <w:name w:val="Emphasis"/>
    <w:basedOn w:val="886"/>
    <w:uiPriority w:val="20"/>
    <w:qFormat/>
    <w:pPr>
      <w:pBdr/>
      <w:spacing/>
      <w:ind/>
    </w:pPr>
    <w:rPr>
      <w:i/>
      <w:iCs/>
    </w:rPr>
  </w:style>
  <w:style w:type="character" w:styleId="871">
    <w:name w:val="Subtle Reference"/>
    <w:basedOn w:val="88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2">
    <w:name w:val="Book Title"/>
    <w:basedOn w:val="88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73">
    <w:name w:val="Header Char"/>
    <w:basedOn w:val="886"/>
    <w:link w:val="889"/>
    <w:uiPriority w:val="99"/>
    <w:pPr>
      <w:pBdr/>
      <w:spacing/>
      <w:ind/>
    </w:pPr>
  </w:style>
  <w:style w:type="character" w:styleId="874">
    <w:name w:val="Footer Char"/>
    <w:basedOn w:val="886"/>
    <w:link w:val="891"/>
    <w:uiPriority w:val="99"/>
    <w:pPr>
      <w:pBdr/>
      <w:spacing/>
      <w:ind/>
    </w:pPr>
  </w:style>
  <w:style w:type="paragraph" w:styleId="875">
    <w:name w:val="Caption"/>
    <w:basedOn w:val="885"/>
    <w:next w:val="88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6">
    <w:name w:val="footnote text"/>
    <w:basedOn w:val="885"/>
    <w:link w:val="87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7">
    <w:name w:val="Footnote Text Char"/>
    <w:basedOn w:val="886"/>
    <w:link w:val="876"/>
    <w:uiPriority w:val="99"/>
    <w:semiHidden/>
    <w:pPr>
      <w:pBdr/>
      <w:spacing/>
      <w:ind/>
    </w:pPr>
    <w:rPr>
      <w:sz w:val="20"/>
      <w:szCs w:val="20"/>
    </w:rPr>
  </w:style>
  <w:style w:type="character" w:styleId="878">
    <w:name w:val="foot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paragraph" w:styleId="879">
    <w:name w:val="endnote text"/>
    <w:basedOn w:val="885"/>
    <w:link w:val="88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0">
    <w:name w:val="Endnote Text Char"/>
    <w:basedOn w:val="886"/>
    <w:link w:val="879"/>
    <w:uiPriority w:val="99"/>
    <w:semiHidden/>
    <w:pPr>
      <w:pBdr/>
      <w:spacing/>
      <w:ind/>
    </w:pPr>
    <w:rPr>
      <w:sz w:val="20"/>
      <w:szCs w:val="20"/>
    </w:rPr>
  </w:style>
  <w:style w:type="character" w:styleId="881">
    <w:name w:val="end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character" w:styleId="882">
    <w:name w:val="FollowedHyperlink"/>
    <w:basedOn w:val="88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3">
    <w:name w:val="TOC Heading"/>
    <w:uiPriority w:val="39"/>
    <w:unhideWhenUsed/>
    <w:pPr>
      <w:pBdr/>
      <w:spacing/>
      <w:ind/>
    </w:pPr>
  </w:style>
  <w:style w:type="paragraph" w:styleId="884">
    <w:name w:val="table of figures"/>
    <w:basedOn w:val="885"/>
    <w:next w:val="885"/>
    <w:uiPriority w:val="99"/>
    <w:unhideWhenUsed/>
    <w:pPr>
      <w:pBdr/>
      <w:spacing w:after="0" w:afterAutospacing="0"/>
      <w:ind/>
    </w:pPr>
  </w:style>
  <w:style w:type="paragraph" w:styleId="885" w:default="1">
    <w:name w:val="Normal"/>
    <w:qFormat/>
    <w:pPr>
      <w:pBdr/>
      <w:spacing/>
      <w:ind/>
    </w:pPr>
  </w:style>
  <w:style w:type="character" w:styleId="886" w:default="1">
    <w:name w:val="Default Paragraph Font"/>
    <w:uiPriority w:val="1"/>
    <w:semiHidden/>
    <w:unhideWhenUsed/>
    <w:pPr>
      <w:pBdr/>
      <w:spacing/>
      <w:ind/>
    </w:pPr>
  </w:style>
  <w:style w:type="table" w:styleId="88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8" w:default="1">
    <w:name w:val="No List"/>
    <w:uiPriority w:val="99"/>
    <w:semiHidden/>
    <w:unhideWhenUsed/>
    <w:pPr>
      <w:pBdr/>
      <w:spacing/>
      <w:ind/>
    </w:pPr>
  </w:style>
  <w:style w:type="paragraph" w:styleId="889">
    <w:name w:val="Header"/>
    <w:basedOn w:val="885"/>
    <w:link w:val="890"/>
    <w:uiPriority w:val="99"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890" w:customStyle="1">
    <w:name w:val="Верхний колонтитул Знак"/>
    <w:basedOn w:val="886"/>
    <w:link w:val="889"/>
    <w:uiPriority w:val="99"/>
    <w:pPr>
      <w:pBdr/>
      <w:spacing/>
      <w:ind/>
    </w:pPr>
  </w:style>
  <w:style w:type="paragraph" w:styleId="891">
    <w:name w:val="Footer"/>
    <w:basedOn w:val="885"/>
    <w:link w:val="892"/>
    <w:uiPriority w:val="99"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892" w:customStyle="1">
    <w:name w:val="Нижний колонтитул Знак"/>
    <w:basedOn w:val="886"/>
    <w:link w:val="891"/>
    <w:uiPriority w:val="99"/>
    <w:pPr>
      <w:pBdr/>
      <w:spacing/>
      <w:ind/>
    </w:pPr>
  </w:style>
  <w:style w:type="paragraph" w:styleId="893">
    <w:name w:val="Balloon Text"/>
    <w:basedOn w:val="885"/>
    <w:link w:val="894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894" w:customStyle="1">
    <w:name w:val="Текст выноски Знак"/>
    <w:basedOn w:val="886"/>
    <w:link w:val="893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895">
    <w:name w:val="List Paragraph"/>
    <w:basedOn w:val="885"/>
    <w:uiPriority w:val="34"/>
    <w:qFormat/>
    <w:pPr>
      <w:pBdr/>
      <w:spacing/>
      <w:ind w:left="720"/>
      <w:contextualSpacing w:val="true"/>
    </w:pPr>
  </w:style>
  <w:style w:type="character" w:styleId="896">
    <w:name w:val="Strong"/>
    <w:basedOn w:val="886"/>
    <w:uiPriority w:val="22"/>
    <w:qFormat/>
    <w:pPr>
      <w:pBdr/>
      <w:spacing/>
      <w:ind/>
    </w:pPr>
    <w:rPr>
      <w:b/>
      <w:bCs/>
    </w:rPr>
  </w:style>
  <w:style w:type="character" w:styleId="897">
    <w:name w:val="Hyperlink"/>
    <w:basedOn w:val="886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898" w:customStyle="1">
    <w:name w:val="inqyif"/>
    <w:basedOn w:val="886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https://zakon.rada.gov.ua/go/280/97-%D0%B2%D1%80/ed20250828" TargetMode="External"/><Relationship Id="rId12" Type="http://schemas.openxmlformats.org/officeDocument/2006/relationships/hyperlink" Target="https://drs.gov.ua/regulatory_policy/roz-yasnennya-shhodo-oprylyudnennya-proektiv-rishen-organiv-mistsevogo-samovryaduvannya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Стародуб Л.О.</dc:creator>
  <cp:lastModifiedBy>СТАРОДУБ Людмила Олександрівна</cp:lastModifiedBy>
  <cp:revision>9</cp:revision>
  <dcterms:created xsi:type="dcterms:W3CDTF">2026-07-21T14:16:00Z</dcterms:created>
  <dcterms:modified xsi:type="dcterms:W3CDTF">2026-07-31T13:10:42Z</dcterms:modified>
</cp:coreProperties>
</file>