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5"/>
        <w:widowControl w:val="false"/>
        <w:pBdr/>
        <w:spacing w:after="0"/>
        <w:ind w:left="99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5"/>
        <w:widowControl w:val="false"/>
        <w:pBdr/>
        <w:spacing w:after="0"/>
        <w:ind w:left="99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розпорядження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5"/>
        <w:widowControl w:val="false"/>
        <w:pBdr/>
        <w:spacing w:after="0"/>
        <w:ind w:left="99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20 липня 2026 року №198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5"/>
        <w:pBdr/>
        <w:spacing w:after="0" w:line="240" w:lineRule="auto"/>
        <w:ind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5"/>
        <w:pBdr/>
        <w:spacing w:after="0" w:line="240" w:lineRule="auto"/>
        <w:ind/>
        <w:jc w:val="center"/>
        <w:rPr>
          <w:b/>
          <w:bCs/>
        </w:rPr>
      </w:pPr>
      <w:r>
        <w:rPr>
          <w:b/>
        </w:rPr>
        <w:t xml:space="preserve">К</w:t>
      </w:r>
      <w:r>
        <w:rPr>
          <w:b/>
        </w:rPr>
        <w:t xml:space="preserve">онсолідована форма щодо </w:t>
      </w:r>
      <w:r>
        <w:rPr>
          <w:b/>
        </w:rPr>
        <w:t xml:space="preserve">врахування /</w:t>
      </w:r>
      <w:r>
        <w:rPr>
          <w:b/>
        </w:rPr>
        <w:t xml:space="preserve"> </w:t>
      </w:r>
      <w:r>
        <w:rPr>
          <w:b/>
        </w:rPr>
        <w:t xml:space="preserve">впровадження </w:t>
      </w:r>
      <w:r>
        <w:rPr>
          <w:b/>
          <w:bCs/>
        </w:rPr>
      </w:r>
      <w:r>
        <w:rPr>
          <w:b/>
          <w:bCs/>
        </w:rPr>
      </w:r>
    </w:p>
    <w:p>
      <w:pPr>
        <w:pStyle w:val="885"/>
        <w:pBdr/>
        <w:spacing w:after="0" w:line="240" w:lineRule="auto"/>
        <w:ind/>
        <w:jc w:val="center"/>
        <w:rPr>
          <w:b/>
          <w:bCs/>
          <w:highlight w:val="none"/>
        </w:rPr>
      </w:pPr>
      <w:r>
        <w:rPr>
          <w:b/>
        </w:rPr>
      </w:r>
      <w:r>
        <w:rPr>
          <w:b/>
        </w:rPr>
        <w:t xml:space="preserve">аудито</w:t>
      </w:r>
      <w:r>
        <w:rPr>
          <w:b/>
        </w:rPr>
        <w:t xml:space="preserve">р</w:t>
      </w:r>
      <w:r>
        <w:rPr>
          <w:b/>
        </w:rPr>
        <w:t xml:space="preserve">с</w:t>
      </w:r>
      <w:r>
        <w:rPr>
          <w:b/>
        </w:rPr>
        <w:t xml:space="preserve">ьких</w:t>
      </w:r>
      <w:r>
        <w:rPr>
          <w:b/>
        </w:rPr>
        <w:t xml:space="preserve"> пропозицій та рекомендацій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85"/>
        <w:pBdr/>
        <w:spacing w:after="0" w:line="240" w:lineRule="auto"/>
        <w:ind/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spacing w:after="0" w:line="240" w:lineRule="auto"/>
        <w:ind/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96"/>
        <w:numPr>
          <w:ilvl w:val="1"/>
          <w:numId w:val="6"/>
        </w:numPr>
        <w:pBdr/>
        <w:spacing/>
        <w:ind w:firstLine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ПРОПОЗИЦІЇ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5"/>
        <w:pBdr/>
        <w:spacing w:after="0" w:line="240" w:lineRule="auto"/>
        <w:ind/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W w:w="146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3"/>
        <w:gridCol w:w="8321"/>
        <w:gridCol w:w="2448"/>
        <w:gridCol w:w="1899"/>
        <w:gridCol w:w="1379"/>
      </w:tblGrid>
      <w:tr>
        <w:trPr>
          <w:trHeight w:val="851"/>
          <w:tblHeader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321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Сутність пропозиції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48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Відповідальний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виконавець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899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Терміни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виконання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Примітка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8321" w:type="dxa"/>
            <w:vAlign w:val="top"/>
            <w:textDirection w:val="lrTb"/>
            <w:noWrap w:val="false"/>
          </w:tcPr>
          <w:p>
            <w:pPr>
              <w:pStyle w:val="885"/>
              <w:widowControl w:val="false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метою усунення невідповідності між ставками орендної плати за землю, визначеними у договорах оренди землі та розмірами оренд</w:t>
            </w:r>
            <w:r>
              <w:rPr>
                <w:sz w:val="24"/>
                <w:szCs w:val="24"/>
              </w:rPr>
              <w:t xml:space="preserve">ної плати, встановленими рішенням сесії, розглянути на сесії Менської міської ради питання щодо приведення у від</w:t>
            </w:r>
            <w:r>
              <w:rPr>
                <w:sz w:val="24"/>
                <w:szCs w:val="24"/>
              </w:rPr>
              <w:t xml:space="preserve">повідність розмірів орендної плати за земельні ділянки, що передані в оренду за договорами, укладеними до набрання чинності відповідним рішення</w:t>
            </w:r>
            <w:r>
              <w:rPr>
                <w:sz w:val="24"/>
                <w:szCs w:val="24"/>
              </w:rPr>
              <w:t xml:space="preserve">м сесії, шляхом прийняття відповідного регуляторного акту (рішення сесії) про застосування актуальних (затверджен</w:t>
            </w:r>
            <w:r>
              <w:rPr>
                <w:sz w:val="24"/>
                <w:szCs w:val="24"/>
              </w:rPr>
              <w:t xml:space="preserve">их) ставок орендної плати до всіх діючих договорів оренди землі.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земельних відносин, АПК та екології Менської міської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</w:t>
            </w:r>
            <w:r>
              <w:rPr>
                <w:sz w:val="24"/>
                <w:szCs w:val="24"/>
              </w:rPr>
              <w:t xml:space="preserve">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метою забезпечення повного та своєчасного надходження коштів від орендної плати за землю до бюджету Менської міської територіальної громади, забезп</w:t>
            </w:r>
            <w:r>
              <w:rPr>
                <w:sz w:val="24"/>
                <w:szCs w:val="24"/>
              </w:rPr>
              <w:t xml:space="preserve">ечити на постійній основі контроль за дотриманням орендарями земел</w:t>
            </w:r>
            <w:r>
              <w:rPr>
                <w:sz w:val="24"/>
                <w:szCs w:val="24"/>
              </w:rPr>
              <w:t xml:space="preserve">ьних діляно</w:t>
            </w:r>
            <w:r>
              <w:rPr>
                <w:sz w:val="24"/>
                <w:szCs w:val="24"/>
              </w:rPr>
              <w:t xml:space="preserve">к строків с</w:t>
            </w:r>
            <w:r>
              <w:rPr>
                <w:sz w:val="24"/>
                <w:szCs w:val="24"/>
              </w:rPr>
              <w:t xml:space="preserve">плати орендної плати, визначених умовами укладених договорів оренди землі. 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</w:rPr>
              <w:t xml:space="preserve">У випадках виявлення фактів несвоєчасної сплати о</w:t>
            </w:r>
            <w:r>
              <w:rPr>
                <w:sz w:val="24"/>
                <w:szCs w:val="24"/>
              </w:rPr>
              <w:t xml:space="preserve">рендної плат</w:t>
            </w:r>
            <w:r>
              <w:rPr>
                <w:sz w:val="24"/>
                <w:szCs w:val="24"/>
              </w:rPr>
              <w:t xml:space="preserve">и вживати за</w:t>
            </w:r>
            <w:r>
              <w:rPr>
                <w:sz w:val="24"/>
                <w:szCs w:val="24"/>
              </w:rPr>
              <w:t xml:space="preserve">ходів щодо нарахування та стягнення з таких орендарів пені (штрафних санкцій), передбачених умовами відповідних договорів оренди землі та чинним законодавством</w:t>
            </w:r>
            <w:r>
              <w:t xml:space="preserve">.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Юридичний відділ Менської міської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земельних відносин, АПК та екології Менської міської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</w:t>
            </w:r>
            <w:r>
              <w:rPr>
                <w:sz w:val="24"/>
                <w:szCs w:val="24"/>
              </w:rPr>
              <w:t xml:space="preserve">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За умови незабезпечення затвердженими кошторисними призначеннями обрахованої місячної </w:t>
            </w:r>
            <w:r>
              <w:rPr>
                <w:sz w:val="24"/>
                <w:szCs w:val="24"/>
                <w:lang w:eastAsia="ar-SA"/>
              </w:rPr>
              <w:t xml:space="preserve">потреби в асигнуваннях на оплату праці працівників, планувати та здійснювати виплати стимулюючого характеру (не гарантованих діючим законодавством) з дотр</w:t>
            </w:r>
            <w:r>
              <w:rPr>
                <w:sz w:val="24"/>
                <w:szCs w:val="24"/>
                <w:lang w:eastAsia="ar-SA"/>
              </w:rPr>
              <w:t xml:space="preserve">иманням вимог частини 1 статті 51 Бюджетного кодексу України, статті 13 Закону України «Про оплату пр</w:t>
            </w:r>
            <w:r>
              <w:rPr>
                <w:sz w:val="24"/>
                <w:szCs w:val="24"/>
                <w:lang w:eastAsia="ar-SA"/>
              </w:rPr>
              <w:t xml:space="preserve">аці» та пунктів 20, 28, 43 «Порядку складання, розгляду, затвердження та основних вимог до виконання кошторисів бюджетних установ», затвердженого постаново</w:t>
            </w:r>
            <w:r>
              <w:rPr>
                <w:sz w:val="24"/>
                <w:szCs w:val="24"/>
                <w:lang w:eastAsia="ar-SA"/>
              </w:rPr>
              <w:t xml:space="preserve">ю Кабінету Міністрів України від 28.02.2002 № 228 зі змінами. </w:t>
            </w:r>
            <w:r>
              <w:rPr>
                <w:color w:val="c00000"/>
                <w:sz w:val="24"/>
                <w:szCs w:val="24"/>
              </w:rPr>
            </w:r>
            <w:r>
              <w:rPr>
                <w:color w:val="c00000"/>
                <w:sz w:val="24"/>
                <w:szCs w:val="24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Керівники розпорядників коштів всіх рівнів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96"/>
              <w:pBdr/>
              <w:spacing w:after="0" w:afterAutospacing="0" w:line="240" w:lineRule="auto"/>
              <w:ind w:left="0"/>
              <w:jc w:val="both"/>
              <w:rPr>
                <w:color w:val="c00000"/>
              </w:rPr>
            </w:pPr>
            <w:r>
              <w:rPr>
                <w:lang w:eastAsia="ar-SA"/>
              </w:rPr>
              <w:t xml:space="preserve">Забезпечити з боку Міської ради (як засновника комунальних підприємств, розпорядника коштів та майна територіальної громади) дієвий контроль за використанням КП «Менакомунпослуга» ма</w:t>
            </w:r>
            <w:r>
              <w:rPr>
                <w:lang w:eastAsia="ar-SA"/>
              </w:rPr>
              <w:t xml:space="preserve">теріальних цінностей, придбаних за рахунок коштів г</w:t>
            </w:r>
            <w:r>
              <w:rPr>
                <w:lang w:eastAsia="ar-SA"/>
              </w:rPr>
              <w:t xml:space="preserve">ромади і переданих у господарське відання з подальш</w:t>
            </w:r>
            <w:r>
              <w:rPr>
                <w:lang w:eastAsia="ar-SA"/>
              </w:rPr>
              <w:t xml:space="preserve">им ініціюванням питання щодо введення їх в експлуатацію та використання за призначенням в господарській діяльності техніки (грейфер, подрібнювач гілок) за</w:t>
            </w:r>
            <w:r>
              <w:rPr>
                <w:lang w:eastAsia="ar-SA"/>
              </w:rPr>
              <w:t xml:space="preserve">гальною вартістю 98,00 тис. гривень. </w:t>
            </w:r>
            <w:r>
              <w:rPr>
                <w:color w:val="c00000"/>
                <w:lang w:eastAsia="ar-SA"/>
              </w:rPr>
            </w:r>
            <w:r>
              <w:rPr>
                <w:color w:val="c00000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житлово-комунального господарства та комунального майна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нської міської</w:t>
            </w:r>
            <w:r>
              <w:rPr>
                <w:sz w:val="24"/>
                <w:szCs w:val="24"/>
              </w:rPr>
              <w:t xml:space="preserve">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96"/>
              <w:pBdr/>
              <w:spacing w:after="0" w:afterAutospacing="0" w:line="240" w:lineRule="auto"/>
              <w:ind w:left="0"/>
              <w:jc w:val="both"/>
              <w:rPr/>
            </w:pPr>
            <w:r>
              <w:rPr>
                <w:lang w:eastAsia="ar-SA"/>
              </w:rPr>
              <w:t xml:space="preserve">Вжити заходів щодо забезпечення дієвого контролю за </w:t>
            </w:r>
            <w:r>
              <w:rPr>
                <w:lang w:eastAsia="ar-SA"/>
              </w:rPr>
              <w:t xml:space="preserve">дотриманням КП «Менакомунпослуга» вимог діючого зако</w:t>
            </w:r>
            <w:r>
              <w:rPr>
                <w:lang w:eastAsia="ar-SA"/>
              </w:rPr>
              <w:t xml:space="preserve">но</w:t>
            </w:r>
            <w:r>
              <w:rPr>
                <w:lang w:eastAsia="ar-SA"/>
              </w:rPr>
              <w:t xml:space="preserve">давства стосовно оплати праці працівників у відповідності до вимог статті 97 Кодексу законів про працю України від 10.12.1971 № 322-VIII, статті 14 Закону України «Про оплату праці» від 24.03.1995 року </w:t>
            </w:r>
            <w:r>
              <w:rPr>
                <w:lang w:eastAsia="ar-SA"/>
              </w:rPr>
              <w:t xml:space="preserve">№ 108/95-ВР та статті 5 Закону України «Про колективні</w:t>
            </w:r>
            <w:r>
              <w:rPr>
                <w:lang w:eastAsia="ar-SA"/>
              </w:rPr>
              <w:t xml:space="preserve"> договори і угоди» від 01.07.1993 № 3356-ХІІ. На етапі погодження штатних розписів підприємства, забезпечити належний рівень контролю за відповідністю посадових окладів працівників законодавчо визначені</w:t>
            </w:r>
            <w:r>
              <w:rPr>
                <w:lang w:eastAsia="ar-SA"/>
              </w:rPr>
              <w:t xml:space="preserve">й системі оплати праці. </w:t>
            </w:r>
            <w:r/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бухгалтерського обліку та звітності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нської міської</w:t>
            </w:r>
            <w:r>
              <w:rPr>
                <w:sz w:val="24"/>
                <w:szCs w:val="24"/>
              </w:rPr>
              <w:t xml:space="preserve">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85"/>
              <w:pBdr/>
              <w:tabs>
                <w:tab w:val="left" w:leader="none" w:pos="2040"/>
              </w:tabs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  <w:t xml:space="preserve"> метою посилення внутрішнього контролю за надходженням та використанням фінансових та матеріальних ресурсів територіальної</w:t>
            </w:r>
            <w:r>
              <w:rPr>
                <w:sz w:val="24"/>
                <w:szCs w:val="24"/>
              </w:rPr>
              <w:t xml:space="preserve"> громади розробити заходи щодо підтримання режиму економії бюджетних коштів, забезпечити розроблення нормативних документі</w:t>
            </w:r>
            <w:r>
              <w:rPr>
                <w:sz w:val="24"/>
                <w:szCs w:val="24"/>
              </w:rPr>
              <w:t xml:space="preserve">в з внутрішн</w:t>
            </w:r>
            <w:r>
              <w:rPr>
                <w:sz w:val="24"/>
                <w:szCs w:val="24"/>
              </w:rPr>
              <w:t xml:space="preserve">ього контролю,  визначити відповідальних осіб за здійснення внутрішнього контролю, з подальшим звітуванням про результати </w:t>
            </w:r>
            <w:r>
              <w:rPr>
                <w:sz w:val="24"/>
                <w:szCs w:val="24"/>
              </w:rPr>
              <w:t xml:space="preserve">проведеної роботи Виконавчому комітету Менської міської ради.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бухгалтерського обліку та звітності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нської міської</w:t>
            </w:r>
            <w:r>
              <w:rPr>
                <w:sz w:val="24"/>
                <w:szCs w:val="24"/>
              </w:rPr>
              <w:t xml:space="preserve">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Керівники виконавчих органів з правом юридичної особи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Забезпечити в</w:t>
            </w:r>
            <w:r>
              <w:rPr>
                <w:sz w:val="24"/>
                <w:szCs w:val="24"/>
              </w:rPr>
              <w:t xml:space="preserve">иконання рішення Менської міської ради від 09.12.2021 № 853 «Про надання </w:t>
            </w:r>
            <w:r>
              <w:rPr>
                <w:sz w:val="24"/>
                <w:szCs w:val="24"/>
              </w:rPr>
              <w:t xml:space="preserve">дозволу на списання з балансу КНП «Менська міська лікарня» Менської міськ</w:t>
            </w:r>
            <w:r>
              <w:rPr>
                <w:sz w:val="24"/>
                <w:szCs w:val="24"/>
              </w:rPr>
              <w:t xml:space="preserve">ої ради майна непридатного до використання» щодо списання непридатного майна. 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Визначити відповідним розпорядчи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м документом відповідальну особу, яка здійснюватиме даний напрямок контро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лю.</w:t>
            </w:r>
            <w:r>
              <w:rPr>
                <w:color w:val="00b0f0"/>
                <w:sz w:val="24"/>
                <w:szCs w:val="24"/>
              </w:rPr>
            </w:r>
            <w:r>
              <w:rPr>
                <w:color w:val="00b0f0"/>
                <w:sz w:val="24"/>
                <w:szCs w:val="24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КНП «Менська міська лікарня» Менської міської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метою забезпечення ефективного використання коштів громади вжити невідкладних дієвих заходів щодо введення в експлуатацію та використання за призначенням у господарській ді</w:t>
            </w:r>
            <w:r>
              <w:rPr>
                <w:sz w:val="24"/>
                <w:szCs w:val="24"/>
              </w:rPr>
              <w:t xml:space="preserve">яльності придбаної за бюджетні кошти техніки (грейфер, подрібнювач гілок) загально</w:t>
            </w:r>
            <w:r>
              <w:rPr>
                <w:sz w:val="24"/>
                <w:szCs w:val="24"/>
              </w:rPr>
              <w:t xml:space="preserve">ю вартістю 98,00 тис. гривень. 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Визначити відповідним розпорядчим документом відповідальну особу, яка здійснюватиме даний напрямок контролю.</w:t>
            </w:r>
            <w:r>
              <w:rPr>
                <w:color w:val="00b0f0"/>
                <w:sz w:val="24"/>
                <w:szCs w:val="24"/>
              </w:rPr>
            </w:r>
            <w:r>
              <w:rPr>
                <w:color w:val="00b0f0"/>
                <w:sz w:val="24"/>
                <w:szCs w:val="24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КП «Менакомунпослуга»</w:t>
            </w:r>
            <w:r>
              <w:rPr>
                <w:lang w:eastAsia="ar-SA"/>
              </w:rPr>
              <w:t xml:space="preserve">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</w:t>
            </w:r>
            <w:r>
              <w:rPr>
                <w:sz w:val="24"/>
                <w:szCs w:val="24"/>
              </w:rPr>
              <w:t xml:space="preserve">ої</w:t>
            </w:r>
            <w:r>
              <w:rPr>
                <w:sz w:val="24"/>
                <w:szCs w:val="24"/>
              </w:rPr>
              <w:t xml:space="preserve"> міськ</w:t>
            </w:r>
            <w:r>
              <w:rPr>
                <w:sz w:val="24"/>
                <w:szCs w:val="24"/>
              </w:rPr>
              <w:t xml:space="preserve">ої</w:t>
            </w:r>
            <w:r>
              <w:rPr>
                <w:sz w:val="24"/>
                <w:szCs w:val="24"/>
              </w:rPr>
              <w:t xml:space="preserve"> рад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321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Привести</w:t>
            </w:r>
            <w:r>
              <w:rPr>
                <w:sz w:val="24"/>
                <w:szCs w:val="24"/>
              </w:rPr>
              <w:t xml:space="preserve"> у відповідність до в</w:t>
            </w:r>
            <w:r>
              <w:rPr>
                <w:sz w:val="24"/>
                <w:szCs w:val="24"/>
              </w:rPr>
              <w:t xml:space="preserve">имог діючого законодавства зокрема, статті 97 Кодексу законів про працю України від 10.12.1971 № 322-VIII, статті 14 Закону України «Про оплату праці» від 24.03.1995 року № 108/95-ВР та статті 5 Закону України «Про колективні договори </w:t>
            </w:r>
            <w:r>
              <w:rPr>
                <w:sz w:val="24"/>
                <w:szCs w:val="24"/>
              </w:rPr>
              <w:t xml:space="preserve">і угоди» від 01.07.19</w:t>
            </w:r>
            <w:r>
              <w:rPr>
                <w:sz w:val="24"/>
                <w:szCs w:val="24"/>
              </w:rPr>
              <w:t xml:space="preserve">93 № 3356-ХІІ, систему оплати праці працівників Підприємства та забезпечити повернення до місцевого бюджету сум зайво здійснених витрат на оплату праці працівників в обсязі 397,39 тис. гривень.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4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КП «Менакомунпослуга»</w:t>
            </w:r>
            <w:r>
              <w:rPr>
                <w:lang w:eastAsia="ar-SA"/>
              </w:rPr>
              <w:t xml:space="preserve">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</w:t>
            </w:r>
            <w:r>
              <w:rPr>
                <w:sz w:val="24"/>
                <w:szCs w:val="24"/>
              </w:rPr>
              <w:t xml:space="preserve">ої</w:t>
            </w:r>
            <w:r>
              <w:rPr>
                <w:sz w:val="24"/>
                <w:szCs w:val="24"/>
              </w:rPr>
              <w:t xml:space="preserve"> міськ</w:t>
            </w:r>
            <w:r>
              <w:rPr>
                <w:sz w:val="24"/>
                <w:szCs w:val="24"/>
              </w:rPr>
              <w:t xml:space="preserve">ої</w:t>
            </w:r>
            <w:r>
              <w:rPr>
                <w:sz w:val="24"/>
                <w:szCs w:val="24"/>
              </w:rPr>
              <w:t xml:space="preserve"> рад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89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</w:t>
            </w:r>
            <w:r>
              <w:rPr>
                <w:sz w:val="24"/>
                <w:szCs w:val="24"/>
              </w:rPr>
              <w:t xml:space="preserve">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7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96"/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hd w:val="nil" w:color="auto"/>
        <w:spacing/>
        <w:ind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  <w:br w:type="page" w:clear="all"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6"/>
        <w:numPr>
          <w:ilvl w:val="1"/>
          <w:numId w:val="6"/>
        </w:numPr>
        <w:pBdr/>
        <w:spacing/>
        <w:ind w:firstLine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РЕКОМЕНДАЦІЇ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5"/>
        <w:pBdr/>
        <w:spacing w:after="0" w:line="240" w:lineRule="auto"/>
        <w:ind/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W w:w="146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6"/>
        <w:gridCol w:w="8473"/>
        <w:gridCol w:w="2274"/>
        <w:gridCol w:w="1909"/>
        <w:gridCol w:w="1388"/>
      </w:tblGrid>
      <w:tr>
        <w:trPr>
          <w:trHeight w:val="851"/>
          <w:tblHeader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473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Суть рекомендацій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274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Відповідальний виконавець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909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Терміни виконання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388" w:type="dxa"/>
            <w:vAlign w:val="center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Примітка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566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47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both"/>
              <w:rPr>
                <w:color w:val="ff0000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метою забезпечення повного та своєчасного надходження коштів від орендної плати за землю до бюджету Менської міської територіальної громади вжити захо</w:t>
            </w:r>
            <w:r>
              <w:rPr>
                <w:sz w:val="24"/>
                <w:szCs w:val="24"/>
              </w:rPr>
              <w:t xml:space="preserve">ди щодо укладання з орендарями земел</w:t>
            </w:r>
            <w:r>
              <w:rPr>
                <w:sz w:val="24"/>
                <w:szCs w:val="24"/>
              </w:rPr>
              <w:t xml:space="preserve">ьних ділянок додаткових угод до діючих</w:t>
            </w:r>
            <w:r>
              <w:rPr>
                <w:sz w:val="24"/>
                <w:szCs w:val="24"/>
              </w:rPr>
              <w:t xml:space="preserve"> договорів оренди землі в частині прив</w:t>
            </w:r>
            <w:r>
              <w:rPr>
                <w:sz w:val="24"/>
                <w:szCs w:val="24"/>
              </w:rPr>
              <w:t xml:space="preserve">едення розміру орендної плати у відповідність до ставок, затверджених рішенням сесії Менської міської ради.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color w:val="ff0000"/>
                <w:spacing w:val="-10"/>
                <w:sz w:val="24"/>
                <w:szCs w:val="24"/>
              </w:rPr>
            </w:r>
            <w:r>
              <w:rPr>
                <w:color w:val="ff0000"/>
                <w:spacing w:val="-10"/>
                <w:sz w:val="24"/>
                <w:szCs w:val="24"/>
              </w:rPr>
            </w:r>
          </w:p>
        </w:tc>
        <w:tc>
          <w:tcPr>
            <w:tcBorders/>
            <w:tcW w:w="2274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земельних відносин, АПК та екології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нської міської</w:t>
            </w:r>
            <w:r>
              <w:rPr>
                <w:sz w:val="24"/>
                <w:szCs w:val="24"/>
              </w:rPr>
              <w:t xml:space="preserve">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90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6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47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both"/>
              <w:rPr>
                <w:color w:val="ff0000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метою збільшення розміру надходжен</w:t>
            </w:r>
            <w:r>
              <w:rPr>
                <w:sz w:val="24"/>
                <w:szCs w:val="24"/>
              </w:rPr>
              <w:t xml:space="preserve">ь до бюджету громади від орендної плати</w:t>
            </w:r>
            <w:r>
              <w:rPr>
                <w:sz w:val="24"/>
                <w:szCs w:val="24"/>
              </w:rPr>
              <w:t xml:space="preserve"> за землю, забезпечити укладання договорів оренди землі з власниками об'єктів нерухомого майна, розташованих на земельних ділянках комунальної власності, договори оренди на які станом на цей час не укладено, із застос</w:t>
            </w:r>
            <w:r>
              <w:rPr>
                <w:sz w:val="24"/>
                <w:szCs w:val="24"/>
              </w:rPr>
              <w:t xml:space="preserve">уванням ставок орендної плати, затвердж</w:t>
            </w:r>
            <w:r>
              <w:rPr>
                <w:sz w:val="24"/>
                <w:szCs w:val="24"/>
              </w:rPr>
              <w:t xml:space="preserve">ених рішенням сесії Менської міської ради. </w:t>
            </w:r>
            <w:r>
              <w:rPr>
                <w:color w:val="ff0000"/>
                <w:spacing w:val="-10"/>
                <w:sz w:val="24"/>
                <w:szCs w:val="24"/>
              </w:rPr>
            </w:r>
            <w:r>
              <w:rPr>
                <w:color w:val="ff0000"/>
                <w:spacing w:val="-10"/>
                <w:sz w:val="24"/>
                <w:szCs w:val="24"/>
              </w:rPr>
            </w:r>
          </w:p>
        </w:tc>
        <w:tc>
          <w:tcPr>
            <w:tcBorders/>
            <w:tcW w:w="2274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 земельних відносин, АПК та екології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нської міської</w:t>
            </w:r>
            <w:r>
              <w:rPr>
                <w:sz w:val="24"/>
                <w:szCs w:val="24"/>
              </w:rPr>
              <w:t xml:space="preserve">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90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6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473" w:type="dxa"/>
            <w:vAlign w:val="top"/>
            <w:textDirection w:val="lrTb"/>
            <w:noWrap w:val="false"/>
          </w:tcPr>
          <w:p>
            <w:pPr>
              <w:pStyle w:val="907"/>
              <w:pBdr/>
              <w:spacing/>
              <w:ind w:left="0"/>
              <w:jc w:val="both"/>
              <w:rPr>
                <w:color w:val="ff0000"/>
                <w:spacing w:val="-10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lang w:val="uk-UA" w:eastAsia="ar-SA"/>
              </w:rPr>
              <w:t xml:space="preserve">Забезпечити приведення договірних відносин щодо передачі в ор</w:t>
            </w:r>
            <w:r>
              <w:rPr>
                <w:sz w:val="24"/>
                <w:szCs w:val="24"/>
                <w:lang w:val="uk-UA" w:eastAsia="ar-SA"/>
              </w:rPr>
              <w:t xml:space="preserve">енду цілісного майнового комплексу очисних споруд у відповідність до вимог законодавства, зокрема шляхом внесення змін до Договору оренди від 01.12.2007 в частині визначення належного орендод</w:t>
            </w:r>
            <w:r>
              <w:rPr>
                <w:sz w:val="24"/>
                <w:szCs w:val="24"/>
                <w:lang w:val="uk-UA" w:eastAsia="ar-SA"/>
              </w:rPr>
              <w:t xml:space="preserve">авця, перегляду розміру орендної плати відповідно до затвердженої</w:t>
            </w:r>
            <w:r>
              <w:rPr>
                <w:sz w:val="24"/>
                <w:szCs w:val="24"/>
                <w:lang w:val="uk-UA" w:eastAsia="ar-SA"/>
              </w:rPr>
              <w:t xml:space="preserve"> Методики розрахунку та порядком використання орендної плати для об’єктів комунальної власності об’єднаної територіальної громади за комунальне майно, а також забезпечити нарахування та своєч</w:t>
            </w:r>
            <w:r>
              <w:rPr>
                <w:sz w:val="24"/>
                <w:szCs w:val="24"/>
                <w:lang w:val="uk-UA" w:eastAsia="ar-SA"/>
              </w:rPr>
              <w:t xml:space="preserve">асне надходження орендної плати до бюджету Менської міської терит</w:t>
            </w:r>
            <w:r>
              <w:rPr>
                <w:sz w:val="24"/>
                <w:szCs w:val="24"/>
                <w:lang w:val="uk-UA" w:eastAsia="ar-SA"/>
              </w:rPr>
              <w:t xml:space="preserve">оріальної громади. У разі неможливості приведення зазначених договірних відносин у відповідність до вимог законодавства – забезпечити припинення дії Договору оренди від 01.12.2007 в установле</w:t>
            </w:r>
            <w:r>
              <w:rPr>
                <w:sz w:val="24"/>
                <w:szCs w:val="24"/>
                <w:lang w:val="uk-UA" w:eastAsia="ar-SA"/>
              </w:rPr>
              <w:t xml:space="preserve">ному законодавством порядку та передачу зазначеного майна в оренд</w:t>
            </w:r>
            <w:r>
              <w:rPr>
                <w:sz w:val="24"/>
                <w:szCs w:val="24"/>
                <w:lang w:val="uk-UA" w:eastAsia="ar-SA"/>
              </w:rPr>
              <w:t xml:space="preserve">у на конкурентних засадах шляхом укладення нового договору оренди. </w:t>
            </w:r>
            <w:r>
              <w:rPr>
                <w:color w:val="ff0000"/>
                <w:spacing w:val="-10"/>
                <w:sz w:val="24"/>
                <w:szCs w:val="24"/>
              </w:rPr>
            </w:r>
            <w:r>
              <w:rPr>
                <w:color w:val="ff0000"/>
                <w:spacing w:val="-10"/>
                <w:sz w:val="24"/>
                <w:szCs w:val="24"/>
              </w:rPr>
            </w:r>
          </w:p>
          <w:p>
            <w:pPr>
              <w:pStyle w:val="907"/>
              <w:pBdr/>
              <w:spacing/>
              <w:ind w:left="0"/>
              <w:jc w:val="both"/>
              <w:rPr>
                <w:color w:val="ff0000"/>
                <w:spacing w:val="-10"/>
                <w:sz w:val="24"/>
                <w:szCs w:val="24"/>
              </w:rPr>
            </w:pPr>
            <w:r>
              <w:rPr>
                <w:color w:val="ff0000"/>
                <w:spacing w:val="-10"/>
                <w:sz w:val="24"/>
                <w:szCs w:val="24"/>
                <w:highlight w:val="none"/>
              </w:rPr>
            </w:r>
            <w:r>
              <w:rPr>
                <w:color w:val="ff0000"/>
                <w:spacing w:val="-10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2274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Юридичний відділ 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нської міської</w:t>
            </w:r>
            <w:r>
              <w:rPr>
                <w:sz w:val="24"/>
                <w:szCs w:val="24"/>
              </w:rPr>
              <w:t xml:space="preserve">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90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6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47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Зобов’язати КП «Менакомунп</w:t>
            </w:r>
            <w:r>
              <w:rPr>
                <w:sz w:val="24"/>
                <w:szCs w:val="24"/>
                <w:lang w:eastAsia="ar-SA"/>
              </w:rPr>
              <w:t xml:space="preserve">ослуга» забезпечити відшкодування (повернення) до місцевого бюджету територіальної громади обсягу зайво витрачених коштів на оплату прац</w:t>
            </w:r>
            <w:r>
              <w:rPr>
                <w:sz w:val="24"/>
                <w:szCs w:val="24"/>
                <w:lang w:eastAsia="ar-SA"/>
              </w:rPr>
              <w:t xml:space="preserve">і працівників (в результаті завищення посадових окладів) даного підприємства в загальній сумі 397,39 тис. гривень.</w:t>
            </w:r>
            <w:r>
              <w:rPr>
                <w:color w:val="000000"/>
                <w:spacing w:val="-10"/>
                <w:sz w:val="24"/>
                <w:szCs w:val="24"/>
              </w:rPr>
            </w:r>
            <w:r>
              <w:rPr>
                <w:color w:val="000000"/>
                <w:spacing w:val="-10"/>
                <w:sz w:val="24"/>
                <w:szCs w:val="24"/>
              </w:rPr>
            </w:r>
          </w:p>
        </w:tc>
        <w:tc>
          <w:tcPr>
            <w:tcBorders/>
            <w:tcW w:w="2274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afterAutospacing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КП «Менакомунпослуга»</w:t>
            </w:r>
            <w:r>
              <w:rPr>
                <w:lang w:eastAsia="ar-SA"/>
              </w:rPr>
              <w:t xml:space="preserve">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нськ</w:t>
            </w:r>
            <w:r>
              <w:rPr>
                <w:sz w:val="24"/>
                <w:szCs w:val="24"/>
              </w:rPr>
              <w:t xml:space="preserve">ої</w:t>
            </w:r>
            <w:r>
              <w:rPr>
                <w:sz w:val="24"/>
                <w:szCs w:val="24"/>
              </w:rPr>
              <w:t xml:space="preserve"> міськ</w:t>
            </w:r>
            <w:r>
              <w:rPr>
                <w:sz w:val="24"/>
                <w:szCs w:val="24"/>
              </w:rPr>
              <w:t xml:space="preserve">ої</w:t>
            </w:r>
            <w:r>
              <w:rPr>
                <w:sz w:val="24"/>
                <w:szCs w:val="24"/>
              </w:rPr>
              <w:t xml:space="preserve"> рад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90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66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473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both"/>
              <w:rPr>
                <w:color w:val="00b0f0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Забезпечити проведення державної </w:t>
            </w:r>
            <w:r>
              <w:rPr>
                <w:sz w:val="24"/>
                <w:szCs w:val="24"/>
              </w:rPr>
              <w:t xml:space="preserve">реєстрації права постійного користу</w:t>
            </w:r>
            <w:r>
              <w:rPr>
                <w:sz w:val="24"/>
                <w:szCs w:val="24"/>
              </w:rPr>
              <w:t xml:space="preserve">вання земельною ділянкою (кадастровий номер 7423055700:01:013:0001) за КНП «Менська міська лікарня» Менської міської ради майна. 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Визначити відповідним розпорядчим документом відповідальну особу, яка здійснюватиме даний на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прямок контролю.</w:t>
            </w:r>
            <w:r>
              <w:rPr>
                <w:color w:val="00b0f0"/>
                <w:spacing w:val="-10"/>
                <w:sz w:val="24"/>
                <w:szCs w:val="24"/>
              </w:rPr>
            </w:r>
            <w:r>
              <w:rPr>
                <w:color w:val="00b0f0"/>
                <w:spacing w:val="-10"/>
                <w:sz w:val="24"/>
                <w:szCs w:val="24"/>
              </w:rPr>
            </w:r>
          </w:p>
        </w:tc>
        <w:tc>
          <w:tcPr>
            <w:tcBorders/>
            <w:tcW w:w="2274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КНП «Менська міська лікарня» Менської міської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909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20.0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.202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та при невиконанні інформувати </w:t>
            </w:r>
            <w:r>
              <w:rPr>
                <w:sz w:val="24"/>
                <w:szCs w:val="24"/>
              </w:rPr>
              <w:t xml:space="preserve">щомісячно до 20 числ</w:t>
            </w:r>
            <w:r>
              <w:rPr>
                <w:sz w:val="24"/>
                <w:szCs w:val="24"/>
              </w:rPr>
              <w:t xml:space="preserve">а поточного місяця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8" w:type="dxa"/>
            <w:vAlign w:val="top"/>
            <w:textDirection w:val="lrTb"/>
            <w:noWrap w:val="false"/>
          </w:tcPr>
          <w:p>
            <w:pPr>
              <w:pStyle w:val="885"/>
              <w:pBdr/>
              <w:spacing w:after="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85"/>
        <w:pBdr/>
        <w:spacing w:after="0" w:line="240" w:lineRule="auto"/>
        <w:ind/>
        <w:jc w:val="both"/>
        <w:rPr>
          <w:rStyle w:val="898"/>
          <w:i w:val="0"/>
          <w:sz w:val="16"/>
          <w:szCs w:val="16"/>
          <w:lang w:eastAsia="uk-UA"/>
        </w:rPr>
      </w:pPr>
      <w:r>
        <w:rPr>
          <w:rStyle w:val="898"/>
          <w:i w:val="0"/>
          <w:sz w:val="16"/>
          <w:szCs w:val="16"/>
          <w:lang w:eastAsia="uk-UA"/>
        </w:rPr>
      </w:r>
      <w:r>
        <w:rPr>
          <w:rStyle w:val="898"/>
          <w:i w:val="0"/>
          <w:sz w:val="16"/>
          <w:szCs w:val="16"/>
          <w:lang w:eastAsia="uk-UA"/>
        </w:rPr>
      </w:r>
      <w:r>
        <w:rPr>
          <w:rStyle w:val="898"/>
          <w:i w:val="0"/>
          <w:sz w:val="16"/>
          <w:szCs w:val="16"/>
          <w:lang w:eastAsia="uk-UA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line="240" w:lineRule="auto"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pPr w:horzAnchor="text" w:tblpXSpec="left" w:vertAnchor="text" w:tblpY="1" w:leftFromText="180" w:topFromText="0" w:rightFromText="180" w:bottomFromText="0"/>
        <w:tblOverlap w:val="never"/>
        <w:tblW w:w="0" w:type="auto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906"/>
              <w:framePr w:hAnchor="text" w:hSpace="180" w:vAnchor="text" w:wrap="around" w:y="1"/>
              <w:pBdr/>
              <w:spacing w:before="0" w:beforeAutospacing="0"/>
              <w:ind w:firstLine="0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Заступник начальни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дділу контро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лю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гал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омисловості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енергет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ики, тр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анспорту та фінансових послуг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Управління Північного оф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ісу Держаудитс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лужби в Чернігівськ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ій області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______________</w:t>
            </w:r>
            <w:r>
              <w:rPr>
                <w:rFonts w:ascii="Times New Roman" w:hAnsi="Times New Roman"/>
                <w:sz w:val="20"/>
              </w:rPr>
              <w:t xml:space="preserve">______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__________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  <w:p>
            <w:pPr>
              <w:pStyle w:val="906"/>
              <w:framePr w:hAnchor="text" w:hSpace="180" w:vAnchor="text" w:wrap="around" w:y="1"/>
              <w:pBdr/>
              <w:spacing w:before="0" w:beforeAutospacing="0"/>
              <w:ind w:firstLine="0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(найменування п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осади керівника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аудиту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/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посадової особи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)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</w:tr>
    </w:tbl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W w:w="0" w:type="auto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5"/>
        <w:gridCol w:w="4111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06"/>
              <w:pBdr/>
              <w:spacing w:before="0" w:beforeAutospacing="0"/>
              <w:ind w:firstLine="0"/>
              <w:jc w:val="center"/>
              <w:rPr>
                <w:rFonts w:ascii="Times New Roman" w:hAnsi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sz w:val="36"/>
                <w:szCs w:val="36"/>
                <w:lang w:val="en-US"/>
              </w:rPr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</w:r>
          </w:p>
          <w:p>
            <w:pPr>
              <w:pStyle w:val="906"/>
              <w:pBdr/>
              <w:spacing w:before="0" w:beforeAutospacing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__</w:t>
            </w:r>
            <w:r>
              <w:rPr>
                <w:rFonts w:ascii="Times New Roman" w:hAnsi="Times New Roman"/>
                <w:sz w:val="20"/>
              </w:rPr>
              <w:t xml:space="preserve">__________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__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906"/>
              <w:pBdr/>
              <w:spacing w:before="0" w:beforeAutospacing="0"/>
              <w:ind w:firstLine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(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підпис)</w: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06"/>
              <w:pBdr/>
              <w:spacing w:before="0" w:beforeAutospacing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06"/>
              <w:pBdr/>
              <w:spacing w:before="0" w:beforeAutospacing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Андрій КРАВЧЕНКО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</w:p>
          <w:p>
            <w:pPr>
              <w:pStyle w:val="906"/>
              <w:pBdr/>
              <w:spacing w:before="0" w:beforeAutospacing="0"/>
              <w:ind w:firstLine="0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(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Власне ім’я ПРІЗВИЩЕ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)</w: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</w:r>
          </w:p>
        </w:tc>
      </w:tr>
    </w:tbl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pPr w:horzAnchor="text" w:tblpXSpec="left" w:vertAnchor="text" w:tblpY="1" w:leftFromText="180" w:topFromText="0" w:rightFromText="180" w:bottomFromText="0"/>
        <w:tblOverlap w:val="never"/>
        <w:tblW w:w="0" w:type="auto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906"/>
              <w:framePr w:hAnchor="text" w:hSpace="180" w:vAnchor="text" w:wrap="around" w:y="1"/>
              <w:pBdr/>
              <w:spacing w:before="0" w:beforeAutospacing="0"/>
              <w:ind w:firstLine="0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Секретар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енської міської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ради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_________________</w:t>
            </w:r>
            <w:r>
              <w:rPr>
                <w:rFonts w:ascii="Times New Roman" w:hAnsi="Times New Roman"/>
                <w:sz w:val="20"/>
              </w:rPr>
              <w:t xml:space="preserve">_______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_____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___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  <w:p>
            <w:pPr>
              <w:pStyle w:val="906"/>
              <w:framePr w:hAnchor="text" w:hSpace="180" w:vAnchor="text" w:wrap="around" w:y="1"/>
              <w:pBdr/>
              <w:spacing w:before="0" w:beforeAutospacing="0"/>
              <w:ind w:firstLine="0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(найменуван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ня поса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ди керівника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обє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’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кту аудит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)</w:t>
            </w:r>
            <w:r>
              <w:rPr>
                <w:rFonts w:ascii="Times New Roman" w:hAnsi="Times New Roman"/>
                <w:sz w:val="20"/>
                <w:lang w:val="ru-RU"/>
              </w:rPr>
            </w:r>
            <w:r>
              <w:rPr>
                <w:rFonts w:ascii="Times New Roman" w:hAnsi="Times New Roman"/>
                <w:sz w:val="20"/>
                <w:lang w:val="ru-RU"/>
              </w:rPr>
            </w:r>
          </w:p>
        </w:tc>
      </w:tr>
    </w:tbl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before="0" w:beforeAutospacing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W w:w="0" w:type="auto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5"/>
        <w:gridCol w:w="4111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906"/>
              <w:pBdr/>
              <w:spacing w:before="0" w:beforeAutospacing="0"/>
              <w:ind w:firstLine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44"/>
                <w:szCs w:val="44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t xml:space="preserve">______________</w: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</w:r>
          </w:p>
          <w:p>
            <w:pPr>
              <w:pStyle w:val="906"/>
              <w:pBdr/>
              <w:spacing w:before="0" w:beforeAutospacing="0"/>
              <w:ind w:firstLine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(підпис)</w: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06"/>
              <w:pBdr/>
              <w:spacing w:before="0" w:beforeAutospacing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Юрій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СТАЛЬНИЧЕНКО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</w:p>
          <w:p>
            <w:pPr>
              <w:pStyle w:val="906"/>
              <w:pBdr/>
              <w:spacing w:before="0" w:beforeAutospacing="0"/>
              <w:ind w:firstLine="0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t xml:space="preserve">(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Власне ім’я ПРІЗВИЩЕ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)</w: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</w:r>
          </w:p>
        </w:tc>
      </w:tr>
    </w:tbl>
    <w:p>
      <w:pPr>
        <w:pStyle w:val="885"/>
        <w:pBdr/>
        <w:tabs>
          <w:tab w:val="left" w:leader="none" w:pos="0"/>
          <w:tab w:val="left" w:leader="none" w:pos="6237"/>
        </w:tabs>
        <w:spacing w:after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85"/>
        <w:pBdr/>
        <w:tabs>
          <w:tab w:val="left" w:leader="none" w:pos="0"/>
          <w:tab w:val="left" w:leader="none" w:pos="6237"/>
        </w:tabs>
        <w:spacing w:after="0" w:line="240" w:lineRule="auto"/>
        <w:ind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sectPr>
      <w:headerReference w:type="default" r:id="rId9"/>
      <w:footnotePr/>
      <w:endnotePr/>
      <w:type w:val="nextPage"/>
      <w:pgSz w:h="11906" w:orient="landscape" w:w="16838"/>
      <w:pgMar w:top="851" w:right="567" w:bottom="851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ntiqua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0"/>
      <w:pBdr/>
      <w:spacing/>
      <w:ind/>
      <w:jc w:val="right"/>
      <w:rPr>
        <w:b/>
        <w:bCs/>
      </w:rPr>
    </w:pPr>
    <w:r>
      <w:rPr>
        <w:b/>
        <w:bCs/>
      </w:rPr>
    </w:r>
    <w:r>
      <w:rPr>
        <w:b/>
        <w:bCs/>
      </w:rPr>
    </w:r>
    <w:r>
      <w:rPr>
        <w:b/>
        <w:b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990"/>
        </w:tabs>
        <w:spacing/>
        <w:ind w:hanging="630" w:left="99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1440"/>
      </w:pPr>
      <w:rPr>
        <w:rFonts w:ascii="Calibri" w:hAnsi="Calibri" w:eastAsia="Calibri" w:cs="Calibri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50" w:left="45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6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1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8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5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2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7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44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6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4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1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8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5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2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0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7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440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pStyle w:val="886"/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Table Grid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 Light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1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1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2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3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5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6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3">
    <w:name w:val="Heading 1"/>
    <w:basedOn w:val="885"/>
    <w:next w:val="885"/>
    <w:link w:val="84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4">
    <w:name w:val="Heading 2"/>
    <w:basedOn w:val="885"/>
    <w:next w:val="885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5">
    <w:name w:val="Heading 3"/>
    <w:basedOn w:val="885"/>
    <w:next w:val="885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6">
    <w:name w:val="Heading 4"/>
    <w:basedOn w:val="885"/>
    <w:next w:val="885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7">
    <w:name w:val="Heading 5"/>
    <w:basedOn w:val="885"/>
    <w:next w:val="885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8">
    <w:name w:val="Heading 6"/>
    <w:basedOn w:val="885"/>
    <w:next w:val="885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9">
    <w:name w:val="Heading 7"/>
    <w:basedOn w:val="885"/>
    <w:next w:val="885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0">
    <w:name w:val="Heading 8"/>
    <w:basedOn w:val="885"/>
    <w:next w:val="885"/>
    <w:link w:val="85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1">
    <w:name w:val="Heading 9"/>
    <w:basedOn w:val="885"/>
    <w:next w:val="885"/>
    <w:link w:val="85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character" w:styleId="844">
    <w:name w:val="Heading 1 Char"/>
    <w:basedOn w:val="842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5">
    <w:name w:val="Heading 2 Char"/>
    <w:basedOn w:val="842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6">
    <w:name w:val="Heading 3 Char"/>
    <w:basedOn w:val="842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7">
    <w:name w:val="Heading 4 Char"/>
    <w:basedOn w:val="842"/>
    <w:link w:val="83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8">
    <w:name w:val="Heading 5 Char"/>
    <w:basedOn w:val="842"/>
    <w:link w:val="8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9">
    <w:name w:val="Heading 6 Char"/>
    <w:basedOn w:val="842"/>
    <w:link w:val="8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0">
    <w:name w:val="Heading 7 Char"/>
    <w:basedOn w:val="842"/>
    <w:link w:val="8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1">
    <w:name w:val="Heading 8 Char"/>
    <w:basedOn w:val="842"/>
    <w:link w:val="8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>
    <w:name w:val="Heading 9 Char"/>
    <w:basedOn w:val="842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3">
    <w:name w:val="Title"/>
    <w:basedOn w:val="885"/>
    <w:next w:val="885"/>
    <w:link w:val="85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4">
    <w:name w:val="Title Char"/>
    <w:basedOn w:val="842"/>
    <w:link w:val="8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5">
    <w:name w:val="Subtitle"/>
    <w:basedOn w:val="885"/>
    <w:next w:val="885"/>
    <w:link w:val="85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6">
    <w:name w:val="Subtitle Char"/>
    <w:basedOn w:val="842"/>
    <w:link w:val="8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7">
    <w:name w:val="Quote"/>
    <w:basedOn w:val="885"/>
    <w:next w:val="885"/>
    <w:link w:val="85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8">
    <w:name w:val="Quote Char"/>
    <w:basedOn w:val="842"/>
    <w:link w:val="85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60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1">
    <w:name w:val="Intense Quote"/>
    <w:basedOn w:val="885"/>
    <w:next w:val="885"/>
    <w:link w:val="86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2">
    <w:name w:val="Intense Quote Char"/>
    <w:basedOn w:val="842"/>
    <w:link w:val="86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3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4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65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67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68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9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0">
    <w:name w:val="Header"/>
    <w:basedOn w:val="885"/>
    <w:link w:val="8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1">
    <w:name w:val="Header Char"/>
    <w:basedOn w:val="842"/>
    <w:link w:val="870"/>
    <w:uiPriority w:val="99"/>
    <w:pPr>
      <w:pBdr/>
      <w:spacing/>
      <w:ind/>
    </w:pPr>
  </w:style>
  <w:style w:type="paragraph" w:styleId="872">
    <w:name w:val="Footer"/>
    <w:basedOn w:val="885"/>
    <w:link w:val="87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3">
    <w:name w:val="Footer Char"/>
    <w:basedOn w:val="842"/>
    <w:link w:val="872"/>
    <w:uiPriority w:val="99"/>
    <w:pPr>
      <w:pBdr/>
      <w:spacing/>
      <w:ind/>
    </w:pPr>
  </w:style>
  <w:style w:type="paragraph" w:styleId="874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5">
    <w:name w:val="footnote text"/>
    <w:basedOn w:val="885"/>
    <w:link w:val="8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6">
    <w:name w:val="Footnote Text Char"/>
    <w:basedOn w:val="842"/>
    <w:link w:val="875"/>
    <w:uiPriority w:val="99"/>
    <w:semiHidden/>
    <w:pPr>
      <w:pBdr/>
      <w:spacing/>
      <w:ind/>
    </w:pPr>
    <w:rPr>
      <w:sz w:val="20"/>
      <w:szCs w:val="20"/>
    </w:rPr>
  </w:style>
  <w:style w:type="character" w:styleId="877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78">
    <w:name w:val="endnote text"/>
    <w:basedOn w:val="885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Endnote Text Char"/>
    <w:basedOn w:val="842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81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2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next w:val="885"/>
    <w:link w:val="885"/>
    <w:qFormat/>
    <w:pPr>
      <w:pBdr/>
      <w:spacing w:after="160" w:line="259" w:lineRule="auto"/>
      <w:ind/>
    </w:pPr>
    <w:rPr>
      <w:sz w:val="28"/>
      <w:szCs w:val="28"/>
      <w:lang w:val="uk-UA" w:eastAsia="en-US" w:bidi="ar-SA"/>
    </w:rPr>
  </w:style>
  <w:style w:type="paragraph" w:styleId="886">
    <w:name w:val="Заголовок 8"/>
    <w:basedOn w:val="885"/>
    <w:next w:val="885"/>
    <w:link w:val="899"/>
    <w:qFormat/>
    <w:pPr>
      <w:keepNext w:val="true"/>
      <w:widowControl w:val="false"/>
      <w:numPr>
        <w:ilvl w:val="7"/>
        <w:numId w:val="1"/>
      </w:numPr>
      <w:pBdr/>
      <w:spacing w:after="120" w:before="120" w:line="240" w:lineRule="auto"/>
      <w:ind w:firstLine="0" w:left="0"/>
      <w:jc w:val="center"/>
      <w:outlineLvl w:val="7"/>
    </w:pPr>
    <w:rPr>
      <w:rFonts w:eastAsia="Times New Roman"/>
      <w:sz w:val="24"/>
      <w:szCs w:val="20"/>
      <w:lang w:val="en-US" w:eastAsia="zh-CN" w:bidi="te-IN"/>
    </w:rPr>
  </w:style>
  <w:style w:type="character" w:styleId="887">
    <w:name w:val="Шрифт абзацу за замовчуванням"/>
    <w:next w:val="887"/>
    <w:link w:val="885"/>
    <w:uiPriority w:val="1"/>
    <w:semiHidden/>
    <w:unhideWhenUsed/>
    <w:pPr>
      <w:pBdr/>
      <w:spacing/>
      <w:ind/>
    </w:pPr>
  </w:style>
  <w:style w:type="table" w:styleId="888">
    <w:name w:val="Звичайна таблиця"/>
    <w:next w:val="888"/>
    <w:link w:val="885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>
    <w:name w:val="Немає списку"/>
    <w:next w:val="889"/>
    <w:link w:val="885"/>
    <w:uiPriority w:val="99"/>
    <w:semiHidden/>
    <w:unhideWhenUsed/>
    <w:pPr>
      <w:pBdr/>
      <w:spacing/>
      <w:ind/>
    </w:pPr>
  </w:style>
  <w:style w:type="paragraph" w:styleId="890">
    <w:name w:val="Верхній колонтитул"/>
    <w:basedOn w:val="885"/>
    <w:next w:val="890"/>
    <w:link w:val="891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91">
    <w:name w:val="Верхній колонтитул Знак"/>
    <w:basedOn w:val="887"/>
    <w:next w:val="891"/>
    <w:link w:val="890"/>
    <w:uiPriority w:val="99"/>
    <w:pPr>
      <w:pBdr/>
      <w:spacing/>
      <w:ind/>
    </w:pPr>
  </w:style>
  <w:style w:type="paragraph" w:styleId="892">
    <w:name w:val="Нижній колонтитул"/>
    <w:basedOn w:val="885"/>
    <w:next w:val="892"/>
    <w:link w:val="893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93">
    <w:name w:val="Нижній колонтитул Знак"/>
    <w:basedOn w:val="887"/>
    <w:next w:val="893"/>
    <w:link w:val="892"/>
    <w:uiPriority w:val="99"/>
    <w:pPr>
      <w:pBdr/>
      <w:spacing/>
      <w:ind/>
    </w:pPr>
  </w:style>
  <w:style w:type="table" w:styleId="894">
    <w:name w:val="Сітка таблиці"/>
    <w:basedOn w:val="888"/>
    <w:next w:val="894"/>
    <w:link w:val="885"/>
    <w:uiPriority w:val="39"/>
    <w:pPr>
      <w:pBdr/>
      <w:spacing w:after="0" w:line="240" w:lineRule="auto"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Основний текст_"/>
    <w:next w:val="895"/>
    <w:link w:val="885"/>
    <w:pPr>
      <w:pBdr/>
      <w:spacing/>
      <w:ind/>
    </w:pPr>
    <w:rPr>
      <w:highlight w:val="white"/>
    </w:rPr>
  </w:style>
  <w:style w:type="paragraph" w:styleId="896">
    <w:name w:val="Абзац списку,Number Bullets"/>
    <w:basedOn w:val="885"/>
    <w:next w:val="896"/>
    <w:link w:val="904"/>
    <w:uiPriority w:val="34"/>
    <w:qFormat/>
    <w:pPr>
      <w:pBdr/>
      <w:spacing w:after="0" w:line="240" w:lineRule="auto"/>
      <w:ind w:left="720"/>
      <w:contextualSpacing w:val="true"/>
    </w:pPr>
    <w:rPr>
      <w:rFonts w:eastAsia="Times New Roman"/>
      <w:sz w:val="24"/>
      <w:szCs w:val="24"/>
      <w:lang w:eastAsia="ru-RU"/>
    </w:rPr>
  </w:style>
  <w:style w:type="character" w:styleId="897">
    <w:name w:val="Оглавление2"/>
    <w:next w:val="897"/>
    <w:link w:val="885"/>
    <w:pPr>
      <w:pBdr/>
      <w:spacing/>
      <w:ind/>
    </w:pPr>
  </w:style>
  <w:style w:type="character" w:styleId="898">
    <w:name w:val="Font Style12"/>
    <w:next w:val="898"/>
    <w:link w:val="885"/>
    <w:qFormat/>
    <w:pPr>
      <w:pBdr/>
      <w:spacing/>
      <w:ind/>
    </w:pPr>
    <w:rPr>
      <w:rFonts w:ascii="Times New Roman" w:hAnsi="Times New Roman" w:cs="Times New Roman"/>
      <w:i/>
      <w:sz w:val="20"/>
    </w:rPr>
  </w:style>
  <w:style w:type="character" w:styleId="899">
    <w:name w:val="Заголовок 8 Знак"/>
    <w:next w:val="899"/>
    <w:link w:val="886"/>
    <w:pPr>
      <w:pBdr/>
      <w:spacing/>
      <w:ind/>
    </w:pPr>
    <w:rPr>
      <w:rFonts w:eastAsia="Times New Roman"/>
      <w:sz w:val="24"/>
      <w:szCs w:val="20"/>
      <w:lang w:val="en-US" w:eastAsia="zh-CN" w:bidi="te-IN"/>
    </w:rPr>
  </w:style>
  <w:style w:type="paragraph" w:styleId="900">
    <w:name w:val="Текст у виносці"/>
    <w:basedOn w:val="885"/>
    <w:next w:val="900"/>
    <w:link w:val="90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01">
    <w:name w:val="Текст у виносці Знак"/>
    <w:next w:val="901"/>
    <w:link w:val="90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02">
    <w:name w:val="Звичайний (веб)"/>
    <w:basedOn w:val="885"/>
    <w:next w:val="902"/>
    <w:link w:val="885"/>
    <w:pPr>
      <w:pBdr/>
      <w:spacing w:after="100" w:afterAutospacing="1" w:before="100" w:beforeAutospacing="1" w:line="240" w:lineRule="auto"/>
      <w:ind/>
    </w:pPr>
    <w:rPr>
      <w:rFonts w:eastAsia="Times New Roman"/>
      <w:sz w:val="24"/>
      <w:szCs w:val="24"/>
      <w:lang w:val="ru-RU" w:eastAsia="ru-RU"/>
    </w:rPr>
  </w:style>
  <w:style w:type="paragraph" w:styleId="903">
    <w:name w:val="Default"/>
    <w:next w:val="903"/>
    <w:link w:val="885"/>
    <w:pPr>
      <w:pBdr/>
      <w:spacing/>
      <w:ind/>
    </w:pPr>
    <w:rPr>
      <w:rFonts w:eastAsia="Times New Roman"/>
      <w:color w:val="000000"/>
      <w:sz w:val="24"/>
      <w:szCs w:val="24"/>
      <w:lang w:val="ru-RU" w:eastAsia="ru-RU" w:bidi="ar-SA"/>
    </w:rPr>
  </w:style>
  <w:style w:type="character" w:styleId="904">
    <w:name w:val="Абзац списку Знак,Number Bullets Знак"/>
    <w:next w:val="904"/>
    <w:link w:val="896"/>
    <w:uiPriority w:val="34"/>
    <w:qFormat/>
    <w:pPr>
      <w:pBdr/>
      <w:spacing/>
      <w:ind/>
    </w:pPr>
    <w:rPr>
      <w:rFonts w:eastAsia="Times New Roman"/>
      <w:sz w:val="24"/>
      <w:szCs w:val="24"/>
      <w:lang w:eastAsia="ru-RU"/>
    </w:rPr>
  </w:style>
  <w:style w:type="paragraph" w:styleId="905">
    <w:name w:val="Shapka Documentu"/>
    <w:basedOn w:val="885"/>
    <w:next w:val="905"/>
    <w:link w:val="885"/>
    <w:pPr>
      <w:keepNext w:val="true"/>
      <w:keepLines w:val="true"/>
      <w:pBdr/>
      <w:spacing w:after="240" w:line="240" w:lineRule="auto"/>
      <w:ind w:left="3969"/>
      <w:jc w:val="center"/>
    </w:pPr>
    <w:rPr>
      <w:rFonts w:ascii="Antiqua" w:hAnsi="Antiqua" w:eastAsia="Times New Roman"/>
      <w:sz w:val="26"/>
      <w:szCs w:val="20"/>
      <w:lang w:eastAsia="ru-RU"/>
    </w:rPr>
  </w:style>
  <w:style w:type="paragraph" w:styleId="906">
    <w:name w:val="Нормальний текст"/>
    <w:basedOn w:val="885"/>
    <w:next w:val="906"/>
    <w:link w:val="885"/>
    <w:pPr>
      <w:pBdr/>
      <w:spacing w:after="0" w:before="120" w:line="240" w:lineRule="auto"/>
      <w:ind w:firstLine="567"/>
    </w:pPr>
    <w:rPr>
      <w:rFonts w:ascii="Antiqua" w:hAnsi="Antiqua" w:eastAsia="Times New Roman"/>
      <w:sz w:val="26"/>
      <w:szCs w:val="20"/>
      <w:lang w:eastAsia="ru-RU"/>
    </w:rPr>
  </w:style>
  <w:style w:type="paragraph" w:styleId="907">
    <w:name w:val="Абзац списку,References"/>
    <w:basedOn w:val="885"/>
    <w:next w:val="907"/>
    <w:link w:val="885"/>
    <w:uiPriority w:val="34"/>
    <w:qFormat/>
    <w:pPr>
      <w:widowControl w:val="false"/>
      <w:pBdr/>
      <w:spacing w:after="0" w:line="240" w:lineRule="auto"/>
      <w:ind w:left="720"/>
      <w:contextualSpacing w:val="true"/>
    </w:pPr>
    <w:rPr>
      <w:rFonts w:eastAsia="Times New Roman"/>
      <w:sz w:val="20"/>
      <w:szCs w:val="20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VAIT</dc:creator>
  <cp:lastModifiedBy>Марцева  Тетяна  Іванівна</cp:lastModifiedBy>
  <cp:revision>28</cp:revision>
  <dcterms:created xsi:type="dcterms:W3CDTF">2025-06-16T08:36:00Z</dcterms:created>
  <dcterms:modified xsi:type="dcterms:W3CDTF">2026-08-05T09:55:37Z</dcterms:modified>
  <cp:version>1048576</cp:version>
</cp:coreProperties>
</file>