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645"/>
        <w:pBdr/>
        <w:tabs>
          <w:tab w:val="clear" w:leader="none" w:pos="709"/>
        </w:tabs>
        <w:spacing/>
        <w:ind w:hanging="1" w:left="5670"/>
        <w:rPr/>
      </w:pPr>
      <w:r>
        <w:t xml:space="preserve">Додаток </w:t>
      </w:r>
      <w:r/>
    </w:p>
    <w:p>
      <w:pPr>
        <w:pStyle w:val="645"/>
        <w:pBdr/>
        <w:tabs>
          <w:tab w:val="clear" w:leader="none" w:pos="709"/>
        </w:tabs>
        <w:spacing/>
        <w:ind w:hanging="1" w:left="5670"/>
        <w:rPr/>
      </w:pPr>
      <w:r>
        <w:t xml:space="preserve">до рішення 7</w:t>
      </w:r>
      <w:r>
        <w:t xml:space="preserve">5</w:t>
      </w:r>
      <w:r>
        <w:t xml:space="preserve"> сесії Менської міської ради 8 скликання  </w:t>
      </w:r>
      <w:r/>
    </w:p>
    <w:p>
      <w:pPr>
        <w:pStyle w:val="645"/>
        <w:pBdr/>
        <w:tabs>
          <w:tab w:val="clear" w:leader="none" w:pos="709"/>
        </w:tabs>
        <w:spacing/>
        <w:ind w:hanging="1" w:left="5670"/>
        <w:rPr/>
      </w:pPr>
      <w:r>
        <w:t xml:space="preserve">2</w:t>
      </w:r>
      <w:r>
        <w:t xml:space="preserve">4</w:t>
      </w:r>
      <w:r>
        <w:t xml:space="preserve"> </w:t>
      </w:r>
      <w:r>
        <w:t xml:space="preserve">лип</w:t>
      </w:r>
      <w:r>
        <w:t xml:space="preserve">ня 2026 року № </w:t>
      </w:r>
      <w:r/>
    </w:p>
    <w:p>
      <w:pPr>
        <w:pStyle w:val="634"/>
        <w:pBdr/>
        <w:spacing/>
        <w:ind/>
        <w:rPr/>
      </w:pPr>
      <w:r/>
      <w:r/>
    </w:p>
    <w:p>
      <w:pPr>
        <w:pStyle w:val="634"/>
        <w:pBdr/>
        <w:spacing/>
        <w:ind/>
        <w:rPr>
          <w:szCs w:val="28"/>
        </w:rPr>
      </w:pPr>
      <w:r>
        <w:rPr>
          <w:szCs w:val="28"/>
        </w:rPr>
      </w:r>
      <w:r>
        <w:rPr>
          <w:szCs w:val="28"/>
        </w:rPr>
      </w:r>
    </w:p>
    <w:p>
      <w:pPr>
        <w:pStyle w:val="634"/>
        <w:pBdr/>
        <w:spacing/>
        <w:ind/>
        <w:jc w:val="center"/>
        <w:rPr>
          <w:b/>
          <w:szCs w:val="28"/>
        </w:rPr>
      </w:pPr>
      <w:r>
        <w:rPr>
          <w:b/>
          <w:szCs w:val="28"/>
        </w:rPr>
        <w:t xml:space="preserve">Порядок проведення конкурсу з визначення операторів паркування в Менській міській територіальній громаді</w:t>
      </w:r>
      <w:r>
        <w:rPr>
          <w:b/>
          <w:szCs w:val="28"/>
        </w:rPr>
      </w:r>
      <w:r>
        <w:rPr>
          <w:b/>
          <w:szCs w:val="28"/>
        </w:rPr>
      </w:r>
    </w:p>
    <w:p>
      <w:pPr>
        <w:pStyle w:val="634"/>
        <w:pBdr/>
        <w:spacing/>
        <w:ind/>
        <w:rPr>
          <w:szCs w:val="28"/>
        </w:rPr>
      </w:pPr>
      <w:r>
        <w:rPr>
          <w:szCs w:val="28"/>
        </w:rPr>
      </w:r>
      <w:r>
        <w:rPr>
          <w:szCs w:val="28"/>
        </w:rPr>
      </w:r>
    </w:p>
    <w:p>
      <w:pPr>
        <w:pStyle w:val="634"/>
        <w:pBdr/>
        <w:spacing/>
        <w:ind w:firstLine="709"/>
        <w:jc w:val="both"/>
        <w:rPr>
          <w:szCs w:val="28"/>
          <w:shd w:val="clear" w:color="auto" w:fill="ffffff"/>
          <w:lang w:eastAsia="uk-UA"/>
        </w:rPr>
      </w:pPr>
      <w:r>
        <w:rPr>
          <w:szCs w:val="28"/>
          <w:shd w:val="clear" w:color="auto" w:fill="ffffff"/>
          <w:lang w:eastAsia="uk-UA"/>
        </w:rPr>
        <w:t xml:space="preserve">           1. Загальні положення</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1.1. Порядок проведення конкурсу з визначення операторів паркування </w:t>
      </w:r>
      <w:r>
        <w:rPr>
          <w:szCs w:val="28"/>
          <w:shd w:val="clear" w:color="auto" w:fill="ffffff"/>
          <w:lang w:eastAsia="uk-UA"/>
        </w:rPr>
        <w:t xml:space="preserve">в Менській міській територіальній громаді </w:t>
      </w:r>
      <w:r>
        <w:rPr>
          <w:szCs w:val="28"/>
          <w:shd w:val="clear" w:color="auto" w:fill="ffffff"/>
          <w:lang w:eastAsia="uk-UA"/>
        </w:rPr>
        <w:t xml:space="preserve">(надалі - Порядок) розроблено відповідно до Законів України «Про місцеве самоврядування в Україні», «Про благоустрій населених пунктів», постанови Кабінету Міністрів України від 03</w:t>
      </w:r>
      <w:r>
        <w:rPr>
          <w:szCs w:val="28"/>
          <w:shd w:val="clear" w:color="auto" w:fill="ffffff"/>
          <w:lang w:eastAsia="uk-UA"/>
        </w:rPr>
        <w:t xml:space="preserve"> грудня 20</w:t>
      </w:r>
      <w:r>
        <w:rPr>
          <w:szCs w:val="28"/>
          <w:shd w:val="clear" w:color="auto" w:fill="ffffff"/>
          <w:lang w:eastAsia="uk-UA"/>
        </w:rPr>
        <w:t xml:space="preserve">09</w:t>
      </w:r>
      <w:r>
        <w:rPr>
          <w:szCs w:val="28"/>
          <w:shd w:val="clear" w:color="auto" w:fill="ffffff"/>
          <w:lang w:eastAsia="uk-UA"/>
        </w:rPr>
        <w:t xml:space="preserve"> року</w:t>
      </w:r>
      <w:r>
        <w:rPr>
          <w:szCs w:val="28"/>
          <w:shd w:val="clear" w:color="auto" w:fill="ffffff"/>
          <w:lang w:eastAsia="uk-UA"/>
        </w:rPr>
        <w:t xml:space="preserve"> № 1342 «Про затвердження Правил паркування транспортних засобів»</w:t>
      </w:r>
      <w:r>
        <w:rPr>
          <w:szCs w:val="28"/>
          <w:shd w:val="clear" w:color="auto" w:fill="ffffff"/>
          <w:lang w:eastAsia="uk-UA"/>
        </w:rPr>
        <w:t xml:space="preserve"> </w:t>
      </w:r>
      <w:r>
        <w:rPr>
          <w:szCs w:val="28"/>
          <w:shd w:val="clear" w:color="auto" w:fill="ffffff"/>
          <w:lang w:eastAsia="uk-UA"/>
        </w:rPr>
        <w:t xml:space="preserve">з метою впорядкування організації та проведення конкурсів з визначення підприємств, установ, організацій (далі - оператори), які залучаються для паркування транспортних засобів.</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1.2. Викон</w:t>
      </w:r>
      <w:r>
        <w:rPr>
          <w:szCs w:val="28"/>
          <w:shd w:val="clear" w:color="auto" w:fill="ffffff"/>
          <w:lang w:eastAsia="uk-UA"/>
        </w:rPr>
        <w:t xml:space="preserve">авчий комітет Менської </w:t>
      </w:r>
      <w:r>
        <w:rPr>
          <w:szCs w:val="28"/>
          <w:shd w:val="clear" w:color="auto" w:fill="ffffff"/>
          <w:lang w:eastAsia="uk-UA"/>
        </w:rPr>
        <w:t xml:space="preserve">міської ради виступає організатором конкурсу і здійснює матеріально-технічне забезпечення проведення конкурсу та роботи конкурсної комісії.</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1.3. </w:t>
      </w:r>
      <w:r>
        <w:rPr>
          <w:szCs w:val="28"/>
        </w:rPr>
        <w:t xml:space="preserve">Конкурс з визначення операторів (надалі - конкурс) проводиться за ініціативою </w:t>
      </w:r>
      <w:r>
        <w:rPr>
          <w:color w:val="000000"/>
          <w:szCs w:val="28"/>
        </w:rPr>
        <w:t xml:space="preserve">в</w:t>
      </w:r>
      <w:r>
        <w:rPr>
          <w:color w:val="000000"/>
          <w:szCs w:val="28"/>
        </w:rPr>
        <w:t xml:space="preserve">иконавчого комітету </w:t>
      </w:r>
      <w:r>
        <w:rPr>
          <w:color w:val="000000"/>
          <w:szCs w:val="28"/>
        </w:rPr>
        <w:t xml:space="preserve">Менської</w:t>
      </w:r>
      <w:r>
        <w:rPr>
          <w:color w:val="000000"/>
          <w:szCs w:val="28"/>
        </w:rPr>
        <w:t xml:space="preserve"> міської ради</w:t>
      </w:r>
      <w:r>
        <w:rPr>
          <w:szCs w:val="28"/>
          <w:shd w:val="clear" w:color="auto" w:fill="ffffff"/>
          <w:lang w:eastAsia="uk-UA"/>
        </w:rPr>
        <w:t xml:space="preserve">.</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1.4. Конкурс п</w:t>
      </w:r>
      <w:r>
        <w:rPr>
          <w:szCs w:val="28"/>
          <w:shd w:val="clear" w:color="auto" w:fill="ffffff"/>
          <w:lang w:eastAsia="uk-UA"/>
        </w:rPr>
        <w:t xml:space="preserve">олягає у визначенні оператора, який відповідає всім умовам конкурсу, визначеним конкурсною комісією, надав пропозиції про найменший розмір плати за надані ним послуги та кращі умови забезпечення паркування транспортних засобів на майданчику для паркування.</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1.5. Учасниками конкурсу можуть бути юридичні особи або фізичні особи – підприємці, які мають необхідну матеріально-технічну базу.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2. Умови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 Інформація про проведення конкурсу формується і публікується у засобах масової інформації та на офіційному сайті </w:t>
      </w:r>
      <w:r>
        <w:rPr>
          <w:szCs w:val="28"/>
          <w:shd w:val="clear" w:color="auto" w:fill="ffffff"/>
          <w:lang w:eastAsia="uk-UA"/>
        </w:rPr>
        <w:t xml:space="preserve">Менської </w:t>
      </w:r>
      <w:r>
        <w:rPr>
          <w:szCs w:val="28"/>
          <w:shd w:val="clear" w:color="auto" w:fill="ffffff"/>
          <w:lang w:eastAsia="uk-UA"/>
        </w:rPr>
        <w:t xml:space="preserve">міської ради, не пізніше ніж за 30 днів до дня проведення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2.2. Всі умови конкурсу та кваліфікаційні вимоги до учасників конкурсу визначаються конкурсною комісією.</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2.3. Опублікована інформація про майданчик для паркування, для забезпечення паркування транспортних засобів на якому підлягає залученню за конкурсом оператора, повинна містити такі відомості:</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найменування, місцезнаходження, контактні телефони Організатора;</w:t>
      </w:r>
      <w:r>
        <w:rPr>
          <w:szCs w:val="28"/>
          <w:shd w:val="clear" w:color="auto" w:fill="ffffff"/>
          <w:lang w:eastAsia="uk-UA"/>
        </w:rPr>
      </w:r>
    </w:p>
    <w:p>
      <w:pPr>
        <w:pStyle w:val="634"/>
        <w:pBdr/>
        <w:tabs>
          <w:tab w:val="left" w:leader="none" w:pos="2263"/>
        </w:tabs>
        <w:spacing/>
        <w:ind w:firstLine="709"/>
        <w:jc w:val="both"/>
        <w:rPr>
          <w:szCs w:val="28"/>
          <w:shd w:val="clear" w:color="auto" w:fill="ffffff"/>
          <w:lang w:eastAsia="uk-UA"/>
        </w:rPr>
      </w:pPr>
      <w:r>
        <w:rPr>
          <w:szCs w:val="28"/>
          <w:shd w:val="clear" w:color="auto" w:fill="ffffff"/>
          <w:lang w:eastAsia="uk-UA"/>
        </w:rPr>
        <w:t xml:space="preserve">- найменування об'єктів Конкурсу, а саме:</w:t>
      </w:r>
      <w:r>
        <w:rPr>
          <w:szCs w:val="28"/>
          <w:shd w:val="clear" w:color="auto" w:fill="ffffff"/>
          <w:lang w:eastAsia="uk-UA"/>
        </w:rPr>
      </w:r>
    </w:p>
    <w:p>
      <w:pPr>
        <w:pStyle w:val="634"/>
        <w:pBdr/>
        <w:tabs>
          <w:tab w:val="left" w:leader="none" w:pos="2263"/>
        </w:tabs>
        <w:spacing/>
        <w:ind w:left="1985"/>
        <w:contextualSpacing w:val="true"/>
        <w:jc w:val="both"/>
        <w:rPr>
          <w:szCs w:val="28"/>
          <w:shd w:val="clear" w:color="auto" w:fill="ffffff"/>
          <w:lang w:eastAsia="uk-UA"/>
        </w:rPr>
      </w:pPr>
      <w:r>
        <w:rPr>
          <w:szCs w:val="28"/>
          <w:shd w:val="clear" w:color="auto" w:fill="ffffff"/>
          <w:lang w:eastAsia="uk-UA"/>
        </w:rPr>
        <w:t xml:space="preserve">адреса </w:t>
      </w:r>
      <w:r>
        <w:rPr>
          <w:szCs w:val="28"/>
        </w:rPr>
        <w:t xml:space="preserve">майданчику для паркування</w:t>
      </w:r>
      <w:r>
        <w:rPr>
          <w:szCs w:val="28"/>
          <w:shd w:val="clear" w:color="auto" w:fill="ffffff"/>
          <w:lang w:eastAsia="uk-UA"/>
        </w:rPr>
        <w:t xml:space="preserve">, його загальна площа, </w:t>
      </w:r>
      <w:r>
        <w:rPr>
          <w:szCs w:val="28"/>
          <w:shd w:val="clear" w:color="auto" w:fill="ffffff"/>
          <w:lang w:eastAsia="uk-UA"/>
        </w:rPr>
      </w:r>
    </w:p>
    <w:p>
      <w:pPr>
        <w:pStyle w:val="634"/>
        <w:pBdr/>
        <w:tabs>
          <w:tab w:val="left" w:leader="none" w:pos="2263"/>
        </w:tabs>
        <w:spacing/>
        <w:ind w:left="1985"/>
        <w:contextualSpacing w:val="true"/>
        <w:jc w:val="both"/>
        <w:rPr>
          <w:szCs w:val="28"/>
          <w:shd w:val="clear" w:color="auto" w:fill="ffffff"/>
          <w:lang w:eastAsia="uk-UA"/>
        </w:rPr>
      </w:pPr>
      <w:r>
        <w:rPr>
          <w:szCs w:val="28"/>
          <w:shd w:val="clear" w:color="auto" w:fill="ffffff"/>
          <w:lang w:eastAsia="uk-UA"/>
        </w:rPr>
        <w:t xml:space="preserve">кількість місць для паркування,</w:t>
      </w:r>
      <w:r>
        <w:rPr>
          <w:szCs w:val="28"/>
          <w:shd w:val="clear" w:color="auto" w:fill="ffffff"/>
          <w:lang w:eastAsia="uk-UA"/>
        </w:rPr>
      </w:r>
    </w:p>
    <w:p>
      <w:pPr>
        <w:pStyle w:val="645"/>
        <w:pBdr/>
        <w:tabs>
          <w:tab w:val="left" w:leader="none" w:pos="2263"/>
        </w:tabs>
        <w:spacing/>
        <w:ind w:firstLine="0" w:left="1985"/>
        <w:rPr>
          <w:szCs w:val="28"/>
        </w:rPr>
      </w:pPr>
      <w:r>
        <w:rPr>
          <w:szCs w:val="28"/>
        </w:rPr>
        <w:t xml:space="preserve">технічне облаштування майданчику для паркування,</w:t>
      </w:r>
      <w:r>
        <w:rPr>
          <w:szCs w:val="28"/>
        </w:rPr>
      </w:r>
    </w:p>
    <w:p>
      <w:pPr>
        <w:pStyle w:val="645"/>
        <w:pBdr/>
        <w:spacing/>
        <w:ind w:firstLine="0" w:left="1985"/>
        <w:rPr>
          <w:szCs w:val="28"/>
          <w:shd w:val="clear" w:color="auto" w:fill="ffffff"/>
          <w:lang w:eastAsia="uk-UA"/>
        </w:rPr>
      </w:pPr>
      <w:r>
        <w:rPr>
          <w:szCs w:val="28"/>
        </w:rPr>
        <w:t xml:space="preserve">режим роботи майданчику для паркування,</w:t>
      </w:r>
      <w:r>
        <w:rPr>
          <w:szCs w:val="28"/>
          <w:shd w:val="clear" w:color="auto" w:fill="ffffff"/>
          <w:lang w:eastAsia="uk-UA"/>
        </w:rPr>
      </w:r>
      <w:r>
        <w:rPr>
          <w:szCs w:val="28"/>
          <w:shd w:val="clear" w:color="auto" w:fill="ffffff"/>
          <w:lang w:eastAsia="uk-UA"/>
        </w:rPr>
      </w:r>
    </w:p>
    <w:p>
      <w:pPr>
        <w:pStyle w:val="634"/>
        <w:pBdr/>
        <w:tabs>
          <w:tab w:val="left" w:leader="none" w:pos="2263"/>
        </w:tabs>
        <w:spacing/>
        <w:ind w:left="1985"/>
        <w:jc w:val="both"/>
        <w:rPr>
          <w:szCs w:val="28"/>
          <w:shd w:val="clear" w:color="auto" w:fill="ffffff"/>
          <w:lang w:eastAsia="uk-UA"/>
        </w:rPr>
      </w:pPr>
      <w:r>
        <w:rPr>
          <w:szCs w:val="28"/>
        </w:rPr>
        <w:t xml:space="preserve">ставка збору за місця для паркування транспортних засобів</w:t>
      </w:r>
      <w:r>
        <w:rPr>
          <w:szCs w:val="28"/>
          <w:shd w:val="clear" w:color="auto" w:fill="ffffff"/>
          <w:lang w:eastAsia="uk-UA"/>
        </w:rPr>
        <w:t xml:space="preserve">;</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строк подання та адресу, за якою подаються документи на Конкурс;</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місце, дату і час проведення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телефон для довідок з питань проведення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кваліфікаційні вимоги до учасників Конкурсу, вимоги до умов матеріально-технічної бази, спеціалістів необхідної кваліфікації.</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вимоги щодо обладнання та утримання майданчиків для паркування та паркувальних зон;</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інші додаткові умови, визначені комісією.</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2.4. Для участі в конкурсі учасники подають до </w:t>
      </w:r>
      <w:r>
        <w:rPr>
          <w:szCs w:val="28"/>
          <w:shd w:val="clear" w:color="auto" w:fill="ffffff"/>
          <w:lang w:eastAsia="uk-UA"/>
        </w:rPr>
        <w:t xml:space="preserve">Менської</w:t>
      </w:r>
      <w:r>
        <w:rPr>
          <w:szCs w:val="28"/>
          <w:shd w:val="clear" w:color="auto" w:fill="ffffff"/>
          <w:lang w:eastAsia="uk-UA"/>
        </w:rPr>
        <w:t xml:space="preserve"> міської ради заяву про участь у конкурсі та документи:</w:t>
      </w:r>
      <w:r>
        <w:rPr>
          <w:szCs w:val="28"/>
          <w:shd w:val="clear" w:color="auto" w:fill="ffffff"/>
          <w:lang w:eastAsia="uk-UA"/>
        </w:rPr>
      </w:r>
    </w:p>
    <w:p>
      <w:pPr>
        <w:pStyle w:val="634"/>
        <w:pBdr/>
        <w:tabs>
          <w:tab w:val="left" w:leader="none" w:pos="593"/>
        </w:tabs>
        <w:spacing/>
        <w:ind w:firstLine="709"/>
        <w:jc w:val="both"/>
        <w:rPr>
          <w:color w:val="ff0000"/>
          <w:szCs w:val="28"/>
          <w:shd w:val="clear" w:color="auto" w:fill="ffffff"/>
          <w:lang w:eastAsia="uk-UA"/>
        </w:rPr>
      </w:pPr>
      <w:r>
        <w:rPr>
          <w:szCs w:val="28"/>
          <w:shd w:val="clear" w:color="auto" w:fill="ffffff"/>
          <w:lang w:eastAsia="uk-UA"/>
        </w:rPr>
        <w:t xml:space="preserve">-заяву на уч</w:t>
      </w:r>
      <w:r>
        <w:rPr>
          <w:szCs w:val="28"/>
          <w:shd w:val="clear" w:color="auto" w:fill="ffffff"/>
          <w:lang w:eastAsia="uk-UA"/>
        </w:rPr>
        <w:t xml:space="preserve">асть у конкурсі та конкурсну пропозицію у письмовій формі за підписом уповноваженої посадової особи учасника, прошиту, пронумеровану та скріплену печаткою (при її наявності) у запечатаному конверті з позначкою «на конкурс з визначення операторів паркування</w:t>
      </w:r>
      <w:r>
        <w:rPr>
          <w:szCs w:val="28"/>
        </w:rPr>
        <w:t xml:space="preserve"> на об’єкт Конкурсу (вказати назву об’єкту)</w:t>
      </w:r>
      <w:r>
        <w:rPr>
          <w:szCs w:val="28"/>
          <w:shd w:val="clear" w:color="auto" w:fill="ffffff"/>
          <w:lang w:eastAsia="uk-UA"/>
        </w:rPr>
        <w:t xml:space="preserve">»; </w:t>
      </w:r>
      <w:r>
        <w:rPr>
          <w:color w:val="ff0000"/>
          <w:szCs w:val="28"/>
          <w:shd w:val="clear" w:color="auto" w:fill="ffffff"/>
          <w:lang w:eastAsia="uk-UA"/>
        </w:rPr>
      </w:r>
      <w:r>
        <w:rPr>
          <w:color w:val="ff0000"/>
          <w:szCs w:val="28"/>
          <w:shd w:val="clear" w:color="auto" w:fill="ffffff"/>
          <w:lang w:eastAsia="uk-UA"/>
        </w:rPr>
      </w:r>
    </w:p>
    <w:p>
      <w:pPr>
        <w:pStyle w:val="634"/>
        <w:pBdr/>
        <w:tabs>
          <w:tab w:val="left" w:leader="none" w:pos="1258"/>
        </w:tabs>
        <w:spacing/>
        <w:ind w:firstLine="709"/>
        <w:jc w:val="both"/>
        <w:rPr>
          <w:szCs w:val="28"/>
          <w:shd w:val="clear" w:color="auto" w:fill="ffffff"/>
          <w:lang w:eastAsia="uk-UA"/>
        </w:rPr>
      </w:pPr>
      <w:r>
        <w:rPr>
          <w:szCs w:val="28"/>
          <w:shd w:val="clear" w:color="auto" w:fill="ffffff"/>
          <w:lang w:eastAsia="uk-UA"/>
        </w:rPr>
        <w:t xml:space="preserve">-перелік документів, оригінали або копії яких подаються Учасниками для підтвердження відповідності Учасників установленим кваліфікаційним вимогам.</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Заява повинна містити: </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-повне найменування/прізвище ім’я та по-батькові суб’єкта господарювання;</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-місцезнаходження/місце реєстрації суб’єкта господарювання;</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-дату складання заяви, підпис уповноваженої особи та печатку (за наявності) Учасника.</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На конверті повинно бути зазначено:</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повне найменування і адреса учасника;</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 маркування: “Не відкривати до _______________________(дата розкриття,</w:t>
      </w:r>
      <w:r>
        <w:rPr>
          <w:szCs w:val="28"/>
          <w:shd w:val="clear" w:color="auto" w:fill="ffffff"/>
          <w:lang w:eastAsia="uk-UA"/>
        </w:rPr>
        <w:t xml:space="preserve"> </w:t>
      </w:r>
      <w:r>
        <w:rPr>
          <w:szCs w:val="28"/>
          <w:shd w:val="clear" w:color="auto" w:fill="ffffff"/>
          <w:lang w:eastAsia="uk-UA"/>
        </w:rPr>
        <w:t xml:space="preserve">зазначена в оголошенні)”.</w:t>
      </w:r>
      <w:r>
        <w:rPr>
          <w:szCs w:val="28"/>
          <w:shd w:val="clear" w:color="auto" w:fill="ffffff"/>
          <w:lang w:eastAsia="uk-UA"/>
        </w:rPr>
      </w:r>
    </w:p>
    <w:p>
      <w:pPr>
        <w:pStyle w:val="634"/>
        <w:pBdr/>
        <w:tabs>
          <w:tab w:val="left" w:leader="none" w:pos="593"/>
        </w:tabs>
        <w:spacing/>
        <w:ind w:firstLine="709"/>
        <w:jc w:val="both"/>
        <w:rPr>
          <w:szCs w:val="28"/>
          <w:lang w:eastAsia="uk-UA"/>
        </w:rPr>
      </w:pPr>
      <w:r>
        <w:rPr>
          <w:szCs w:val="28"/>
          <w:shd w:val="clear" w:color="auto" w:fill="ffffff"/>
          <w:lang w:eastAsia="uk-UA"/>
        </w:rPr>
        <w:t xml:space="preserve">2.5. Усі учасники конкурсу подають зобов'язання щодо виконання умов конкурсу.</w:t>
      </w:r>
      <w:r>
        <w:rPr>
          <w:szCs w:val="28"/>
          <w:lang w:eastAsia="uk-UA"/>
        </w:rPr>
      </w:r>
      <w:r>
        <w:rPr>
          <w:szCs w:val="28"/>
          <w:lang w:eastAsia="uk-UA"/>
        </w:rPr>
      </w:r>
    </w:p>
    <w:p>
      <w:pPr>
        <w:pStyle w:val="634"/>
        <w:pBdr/>
        <w:tabs>
          <w:tab w:val="left" w:leader="none" w:pos="593"/>
        </w:tabs>
        <w:spacing/>
        <w:ind w:firstLine="709"/>
        <w:jc w:val="both"/>
        <w:rPr>
          <w:szCs w:val="28"/>
          <w:lang w:eastAsia="uk-UA"/>
        </w:rPr>
      </w:pPr>
      <w:r>
        <w:rPr>
          <w:szCs w:val="28"/>
          <w:lang w:eastAsia="uk-UA"/>
        </w:rPr>
        <w:t xml:space="preserve">2.6. Відсутність документів, передбачених в конкурсній документації, розцінюється як невідповідність пропозиції умовам конкурсної документації.</w:t>
      </w:r>
      <w:r>
        <w:rPr>
          <w:szCs w:val="28"/>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2.7. Конверти з документами на конкурс реєструються Організатором у журналі обліку та не розпечатується до встановленої та офіційно оголошеної дати.</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2.8. Розкриття конвертів з конкурсними пропозиціями проводиться Комісією у місці та час, передбачені Конкурсною документацією в присутності всіх учасників конкурсу або уповноважених ними осіб.</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2.9. Розкриття конверта з конкурсною пропозицією може проводитися за відсутності Учасника або уповноваженої ним особи.</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2.10.</w:t>
      </w:r>
      <w:r>
        <w:rPr>
          <w:szCs w:val="28"/>
          <w:shd w:val="clear" w:color="auto" w:fill="ffffff"/>
          <w:lang w:eastAsia="uk-UA"/>
        </w:rPr>
        <w:t xml:space="preserve"> Під час розкриття конвертів з конкурсними пропозиціями Комісія перевіряє наявність та правильність оформлення документів, подання яких передбачено Конкурсною документацією, а також оголошує інформацію про найменування та місцезнаходження кожного Учасника.</w:t>
      </w:r>
      <w:r>
        <w:rPr>
          <w:szCs w:val="28"/>
          <w:shd w:val="clear" w:color="auto" w:fill="ffffff"/>
          <w:lang w:eastAsia="uk-UA"/>
        </w:rPr>
      </w:r>
    </w:p>
    <w:p>
      <w:pPr>
        <w:pStyle w:val="634"/>
        <w:pBdr/>
        <w:tabs>
          <w:tab w:val="left" w:leader="none" w:pos="593"/>
        </w:tabs>
        <w:spacing/>
        <w:ind w:firstLine="709"/>
        <w:jc w:val="both"/>
        <w:rPr/>
      </w:pPr>
      <w:r>
        <w:rPr>
          <w:szCs w:val="28"/>
          <w:shd w:val="clear" w:color="auto" w:fill="ffffff"/>
          <w:lang w:eastAsia="uk-UA"/>
        </w:rPr>
        <w:t xml:space="preserve">2.11. Під час розгляду конкурсних пропозицій Комісія має право звернутися до Учасників за роз'ясненням щодо змісту конкурсної пропозиції.</w:t>
      </w: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2.12. За результатами розгляду конкурсних пропозицій Комісія має право відхилити їх із таких причин:</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-учасник не відповідає кваліфікаційним вимогам, передбаченим Конкурсною документацією;</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-конкурсна пропозиція не відповідає Конкурсній документації;</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-ліквідації учасника, визнання його банкрутом або порушення проти нього справи про банкрутство;</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-неподання документів, передбачених конкурсною документацією.</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2.13. Конкурсна комісія має право відмовити особі брати участь у конкурсі, якщо подані нею матеріали не відповідають вимогам цього Порядку та умовам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2.14. Прийом заяв на участь у конкурсі розпочинається Організатором на наступний день після публікації оголошення про його проведення та припиняється за три дні до дати проведення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2.15. Відомості про учасників конкурсу, кількість учасників та пропозиції учасників щодо умов конкурсу не підлягають розголошенню до визначення остаточного переможця.</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2.16. До початку проведення конкурсу кожен учасник повинен бути ознайомлений з правилами проведення конкурсу.</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3. Конкурсна комісія</w:t>
      </w:r>
      <w:r>
        <w:rPr>
          <w:szCs w:val="28"/>
          <w:shd w:val="clear" w:color="auto" w:fill="ffffff"/>
          <w:lang w:eastAsia="uk-UA"/>
        </w:rPr>
      </w:r>
    </w:p>
    <w:p>
      <w:pPr>
        <w:pStyle w:val="634"/>
        <w:pBdr/>
        <w:tabs>
          <w:tab w:val="left" w:leader="none" w:pos="593"/>
        </w:tabs>
        <w:spacing/>
        <w:ind w:firstLine="709"/>
        <w:jc w:val="both"/>
        <w:rPr>
          <w:szCs w:val="28"/>
          <w:shd w:val="clear" w:color="auto" w:fill="ffffff"/>
          <w:lang w:eastAsia="uk-UA"/>
        </w:rPr>
      </w:pPr>
      <w:r>
        <w:rPr>
          <w:szCs w:val="28"/>
          <w:shd w:val="clear" w:color="auto" w:fill="ffffff"/>
          <w:lang w:eastAsia="uk-UA"/>
        </w:rPr>
        <w:t xml:space="preserve">3.1. Для підготовки та проведення Конкурсу</w:t>
      </w:r>
      <w:r>
        <w:rPr>
          <w:szCs w:val="28"/>
          <w:shd w:val="clear" w:color="auto" w:fill="ffffff"/>
          <w:lang w:eastAsia="uk-UA"/>
        </w:rPr>
        <w:t xml:space="preserve"> рішенням виконавчого комітету Менської міської ради</w:t>
      </w:r>
      <w:r>
        <w:rPr>
          <w:szCs w:val="28"/>
          <w:shd w:val="clear" w:color="auto" w:fill="ffffff"/>
          <w:lang w:eastAsia="uk-UA"/>
        </w:rPr>
        <w:t xml:space="preserve"> утворюється Конкурсна комісія, до складу якої включаються представники Організатора, уповноваженого органу, органу Національної поліції (за згодою), представники громадськості (за згодою).</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2</w:t>
      </w:r>
      <w:r>
        <w:rPr>
          <w:szCs w:val="28"/>
          <w:shd w:val="clear" w:color="auto" w:fill="ffffff"/>
          <w:lang w:eastAsia="uk-UA"/>
        </w:rPr>
        <w:t xml:space="preserve">. До складу Комісії не можуть входити представники суб'єктів господарювання, які є Учасниками або які діють на ринку надання послуг з паркування та можуть впливати на прийняття рішень Комісії. </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3</w:t>
      </w:r>
      <w:r>
        <w:rPr>
          <w:szCs w:val="28"/>
          <w:shd w:val="clear" w:color="auto" w:fill="ffffff"/>
          <w:lang w:eastAsia="uk-UA"/>
        </w:rPr>
        <w:t xml:space="preserve">. Конкурсна комісія під час своєї діяльності має право звертатися до підприємств, установ, організацій за консультаціями та щодо надання  необхідних даних, зокрема про учасників конкурсу, про майданчики для паркування.</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Кожен член комісії, що увійшов до її складу, при прийнятті рішень має один голос.</w:t>
      </w:r>
      <w:r>
        <w:rPr>
          <w:szCs w:val="28"/>
          <w:shd w:val="clear" w:color="auto" w:fill="ffffff"/>
          <w:lang w:eastAsia="uk-UA"/>
        </w:rPr>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4</w:t>
      </w:r>
      <w:r>
        <w:rPr>
          <w:szCs w:val="28"/>
          <w:shd w:val="clear" w:color="auto" w:fill="ffffff"/>
          <w:lang w:eastAsia="uk-UA"/>
        </w:rPr>
        <w:t xml:space="preserve">. Засідання конкурсної комісії є правомочним за умови наявності кворуму (більше половини членів конкурсної комісії).</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5</w:t>
      </w:r>
      <w:r>
        <w:rPr>
          <w:szCs w:val="28"/>
          <w:shd w:val="clear" w:color="auto" w:fill="ffffff"/>
          <w:lang w:eastAsia="uk-UA"/>
        </w:rPr>
        <w:t xml:space="preserve">. Конкурс   здійснюється   в один  етап,   на  якому   визначається переможець, згідно з умовами конкурсу та зобов'язаннями його учасників.</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6</w:t>
      </w:r>
      <w:r>
        <w:rPr>
          <w:szCs w:val="28"/>
          <w:shd w:val="clear" w:color="auto" w:fill="ffffff"/>
          <w:lang w:eastAsia="uk-UA"/>
        </w:rPr>
        <w:t xml:space="preserve">. Комісія визначає переможця конкурсу відкритим голосуванням простою більшістю голосів від загального складу комісії. У разі рівної кількості голосів «за» та «проти», голос голови конкурсної комісії є вирішальним.</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3.</w:t>
      </w:r>
      <w:r>
        <w:rPr>
          <w:szCs w:val="28"/>
          <w:shd w:val="clear" w:color="auto" w:fill="ffffff"/>
          <w:lang w:eastAsia="uk-UA"/>
        </w:rPr>
        <w:t xml:space="preserve">7</w:t>
      </w:r>
      <w:r>
        <w:rPr>
          <w:szCs w:val="28"/>
          <w:shd w:val="clear" w:color="auto" w:fill="ffffff"/>
          <w:lang w:eastAsia="uk-UA"/>
        </w:rPr>
        <w:t xml:space="preserve">. Функції конкурсної комісії щодо кожного окремого об’єкта припиняються:</w:t>
      </w:r>
      <w:r>
        <w:rPr>
          <w:szCs w:val="28"/>
          <w:lang w:eastAsia="uk-UA"/>
        </w:rPr>
        <w:br w:type="textWrapping" w:clear="all"/>
      </w:r>
      <w:r>
        <w:rPr>
          <w:szCs w:val="28"/>
          <w:shd w:val="clear" w:color="auto" w:fill="ffffff"/>
          <w:lang w:eastAsia="uk-UA"/>
        </w:rPr>
        <w:t xml:space="preserve">          - у разі відсутності заяв про участь у конкурсі - з оголошеного кінцевого терміну прийняття пропозицій учасників конкурсу;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у разі проведення конкурсу - з дати укладання  договору з переможцем конкурсу.</w:t>
      </w:r>
      <w:r>
        <w:rPr>
          <w:szCs w:val="28"/>
          <w:shd w:val="clear" w:color="auto" w:fill="ffffff"/>
          <w:lang w:eastAsia="uk-UA"/>
        </w:rPr>
      </w:r>
    </w:p>
    <w:p>
      <w:pPr>
        <w:pStyle w:val="634"/>
        <w:pBdr/>
        <w:spacing/>
        <w:ind w:firstLine="709"/>
        <w:jc w:val="both"/>
        <w:rPr>
          <w:color w:val="ff0000"/>
          <w:szCs w:val="28"/>
          <w:shd w:val="clear" w:color="auto" w:fill="ffffff"/>
          <w:lang w:eastAsia="uk-UA"/>
        </w:rPr>
      </w:pPr>
      <w:r>
        <w:rPr>
          <w:color w:val="ff0000"/>
          <w:szCs w:val="28"/>
          <w:shd w:val="clear" w:color="auto" w:fill="ffffff"/>
          <w:lang w:eastAsia="uk-UA"/>
        </w:rPr>
      </w:r>
      <w:r>
        <w:rPr>
          <w:color w:val="ff0000"/>
          <w:szCs w:val="28"/>
          <w:shd w:val="clear" w:color="auto" w:fill="ffffff"/>
          <w:lang w:eastAsia="uk-UA"/>
        </w:rPr>
      </w:r>
    </w:p>
    <w:p>
      <w:pPr>
        <w:pStyle w:val="634"/>
        <w:pBdr/>
        <w:tabs>
          <w:tab w:val="left" w:leader="none" w:pos="0"/>
        </w:tabs>
        <w:spacing/>
        <w:ind w:firstLine="709"/>
        <w:jc w:val="both"/>
        <w:rPr>
          <w:szCs w:val="28"/>
          <w:shd w:val="clear" w:color="auto" w:fill="ffffff"/>
          <w:lang w:eastAsia="uk-UA"/>
        </w:rPr>
      </w:pPr>
      <w:r>
        <w:rPr>
          <w:szCs w:val="28"/>
          <w:shd w:val="clear" w:color="auto" w:fill="ffffff"/>
          <w:lang w:eastAsia="uk-UA"/>
        </w:rPr>
        <w:t xml:space="preserve">4. Порядок проведення конкурсу та оформлення його результатів</w:t>
      </w:r>
      <w:r>
        <w:rPr>
          <w:szCs w:val="28"/>
          <w:lang w:eastAsia="uk-UA"/>
        </w:rPr>
        <w:br w:type="textWrapping" w:clear="all"/>
      </w:r>
      <w:r>
        <w:rPr>
          <w:szCs w:val="28"/>
          <w:shd w:val="clear" w:color="auto" w:fill="ffffff"/>
          <w:lang w:eastAsia="uk-UA"/>
        </w:rPr>
        <w:t xml:space="preserve">      </w:t>
      </w:r>
      <w:r>
        <w:rPr>
          <w:szCs w:val="28"/>
          <w:shd w:val="clear" w:color="auto" w:fill="ffffff"/>
          <w:lang w:eastAsia="uk-UA"/>
        </w:rPr>
        <w:t xml:space="preserve">   </w:t>
      </w:r>
      <w:r>
        <w:rPr>
          <w:szCs w:val="28"/>
          <w:shd w:val="clear" w:color="auto" w:fill="ffffff"/>
          <w:lang w:eastAsia="uk-UA"/>
        </w:rPr>
        <w:t xml:space="preserve"> </w:t>
      </w:r>
      <w:r>
        <w:rPr>
          <w:szCs w:val="28"/>
          <w:shd w:val="clear" w:color="auto" w:fill="ffffff"/>
          <w:lang w:eastAsia="uk-UA"/>
        </w:rPr>
        <w:t xml:space="preserve">4.1. Конкурсна комісія визначає переможця за найкращими пропозиціями, відповідно до п.1.4 цього Порядку. Якщо при відкритт</w:t>
      </w:r>
      <w:r>
        <w:rPr>
          <w:szCs w:val="28"/>
          <w:shd w:val="clear" w:color="auto" w:fill="ffffff"/>
          <w:lang w:eastAsia="uk-UA"/>
        </w:rPr>
        <w:t xml:space="preserve">і запечатаних конвертів виявилося, що учасники конкурсу, які відповідно до поданих пропозицій можуть бути визнані переможцями, подали однакові пропозиції, то ці учасники конкурсу на цьому ж засіданні можуть надати додаткові пропозиції у письмовому вигляді.</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4.2. За   результатами   конкурсу   визначається   переможець,   про   що повідомляється всім учасникам конкурсу відразу після його завершення.</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У разі надходження заяви лише від одного учасника, пропозиції якого відповідають умовам конкурсу, </w:t>
      </w:r>
      <w:r>
        <w:rPr>
          <w:szCs w:val="28"/>
          <w:shd w:val="clear" w:color="auto" w:fill="ffffff"/>
          <w:lang w:eastAsia="uk-UA"/>
        </w:rPr>
        <w:t xml:space="preserve">він визначається переможцем.</w:t>
      </w:r>
      <w:r>
        <w:rPr>
          <w:szCs w:val="28"/>
          <w:shd w:val="clear" w:color="auto" w:fill="ffffff"/>
          <w:lang w:eastAsia="uk-UA"/>
        </w:rPr>
        <w:t xml:space="preserve"> </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У разі відсутності пропозицій, які відповідали б умовам конкурсу, конкурс вважається таким, що не відбувся. Інформація про учасника конкурсу та його умови відображається в протоколі.</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4.3. Після  закінчення  засідання  конкурсною комісією  складається протокол, у якому зазначаються такі відомості:</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відомості про учасників;</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умови конкурсу;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пропозиції учасників конкурсу;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обґрунтування вибору переможця конкурсу;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    результати конкурсу.</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4.4. Протокол підписується всіма членами конкурсної комісії, які взяли участь у голосуванні, і затверджується головою комісії у день проведення конкурсу.</w:t>
      </w:r>
      <w:r>
        <w:rPr>
          <w:szCs w:val="28"/>
          <w:shd w:val="clear" w:color="auto" w:fill="ffffff"/>
          <w:lang w:eastAsia="uk-UA"/>
        </w:rPr>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4.5. </w:t>
      </w:r>
      <w:r>
        <w:rPr>
          <w:szCs w:val="28"/>
          <w:shd w:val="clear" w:color="auto" w:fill="ffffff"/>
          <w:lang w:eastAsia="uk-UA"/>
        </w:rPr>
        <w:t xml:space="preserve">Переможець конкурсу затверджується</w:t>
      </w:r>
      <w:r>
        <w:rPr>
          <w:szCs w:val="28"/>
          <w:shd w:val="clear" w:color="auto" w:fill="ffffff"/>
          <w:lang w:eastAsia="uk-UA"/>
        </w:rPr>
        <w:t xml:space="preserve"> </w:t>
      </w:r>
      <w:r>
        <w:rPr>
          <w:szCs w:val="28"/>
          <w:shd w:val="clear" w:color="auto" w:fill="ffffff"/>
          <w:lang w:eastAsia="uk-UA"/>
        </w:rPr>
        <w:t xml:space="preserve">Менською </w:t>
      </w:r>
      <w:r>
        <w:rPr>
          <w:szCs w:val="28"/>
          <w:shd w:val="clear" w:color="auto" w:fill="ffffff"/>
          <w:lang w:eastAsia="uk-UA"/>
        </w:rPr>
        <w:t xml:space="preserve"> міською радою</w:t>
      </w:r>
      <w:r>
        <w:rPr>
          <w:szCs w:val="28"/>
          <w:shd w:val="clear" w:color="auto" w:fill="ffffff"/>
          <w:lang w:eastAsia="uk-UA"/>
        </w:rPr>
        <w:t xml:space="preserve">.</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4.6. </w:t>
      </w:r>
      <w:r>
        <w:rPr>
          <w:szCs w:val="28"/>
          <w:shd w:val="clear" w:color="auto" w:fill="ffffff"/>
          <w:lang w:eastAsia="uk-UA"/>
        </w:rPr>
        <w:t xml:space="preserve"> </w:t>
      </w:r>
      <w:r>
        <w:rPr>
          <w:szCs w:val="28"/>
          <w:shd w:val="clear" w:color="auto" w:fill="ffffff"/>
          <w:lang w:eastAsia="uk-UA"/>
        </w:rPr>
        <w:t xml:space="preserve">З переможцем конкурсу</w:t>
      </w:r>
      <w:r>
        <w:rPr>
          <w:szCs w:val="28"/>
          <w:shd w:val="clear" w:color="auto" w:fill="ffffff"/>
          <w:lang w:eastAsia="uk-UA"/>
        </w:rPr>
        <w:t xml:space="preserve"> в 10-денний термін з дня його затвердження</w:t>
      </w:r>
      <w:r>
        <w:rPr>
          <w:szCs w:val="28"/>
          <w:shd w:val="clear" w:color="auto" w:fill="ffffff"/>
          <w:lang w:eastAsia="uk-UA"/>
        </w:rPr>
        <w:t xml:space="preserve"> укладається договір про обладнання та утримання місць для паркування строком на п</w:t>
      </w:r>
      <w:r>
        <w:rPr>
          <w:szCs w:val="28"/>
          <w:shd w:val="clear" w:color="auto" w:fill="ffffff"/>
          <w:lang w:eastAsia="uk-UA"/>
        </w:rPr>
        <w:t xml:space="preserve">’</w:t>
      </w:r>
      <w:r>
        <w:rPr>
          <w:szCs w:val="28"/>
          <w:shd w:val="clear" w:color="auto" w:fill="ffffff"/>
          <w:lang w:eastAsia="uk-UA"/>
        </w:rPr>
        <w:t xml:space="preserve">ять років, який</w:t>
      </w:r>
      <w:r>
        <w:rPr>
          <w:szCs w:val="28"/>
          <w:shd w:val="clear" w:color="auto" w:fill="ffffff"/>
          <w:lang w:eastAsia="uk-UA"/>
        </w:rPr>
        <w:t xml:space="preserve"> </w:t>
      </w:r>
      <w:r>
        <w:rPr>
          <w:szCs w:val="28"/>
          <w:shd w:val="clear" w:color="auto" w:fill="ffffff"/>
          <w:lang w:eastAsia="uk-UA"/>
        </w:rPr>
        <w:t xml:space="preserve">обов’язково має містити зобов’язання щодо виконання всіх умов конкурсу.</w:t>
      </w:r>
      <w:r>
        <w:rPr>
          <w:szCs w:val="28"/>
          <w:shd w:val="clear" w:color="auto" w:fill="ffffff"/>
          <w:lang w:eastAsia="uk-UA"/>
        </w:rPr>
        <w:t xml:space="preserve"> Договір</w:t>
      </w:r>
      <w:r>
        <w:rPr>
          <w:szCs w:val="28"/>
          <w:shd w:val="clear" w:color="auto" w:fill="ffffff"/>
          <w:lang w:eastAsia="uk-UA"/>
        </w:rPr>
        <w:t xml:space="preserve"> може бути продовжено за рішенням Організатора за наявності вмотивовани</w:t>
      </w:r>
      <w:r>
        <w:rPr>
          <w:szCs w:val="28"/>
          <w:shd w:val="clear" w:color="auto" w:fill="ffffff"/>
          <w:lang w:eastAsia="uk-UA"/>
        </w:rPr>
        <w:t xml:space="preserve">х підстав вважати Оператора таким, що здійснював свою діяльність без порушення умов укладеного попереднього договору. У такому разі Організатор зобов’язаний забезпечити за заявою Оператора продовження строку дії договору, але не більше ніж на п’ять років. </w:t>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r>
      <w:r>
        <w:rPr>
          <w:szCs w:val="28"/>
          <w:shd w:val="clear" w:color="auto" w:fill="ffffff"/>
          <w:lang w:eastAsia="uk-UA"/>
        </w:rPr>
      </w:r>
    </w:p>
    <w:p>
      <w:pPr>
        <w:pStyle w:val="634"/>
        <w:pBdr/>
        <w:spacing/>
        <w:ind w:firstLine="709"/>
        <w:jc w:val="both"/>
        <w:rPr>
          <w:szCs w:val="28"/>
          <w:shd w:val="clear" w:color="auto" w:fill="ffffff"/>
          <w:lang w:eastAsia="uk-UA"/>
        </w:rPr>
      </w:pPr>
      <w:r>
        <w:rPr>
          <w:szCs w:val="28"/>
          <w:shd w:val="clear" w:color="auto" w:fill="ffffff"/>
          <w:lang w:eastAsia="uk-UA"/>
        </w:rPr>
        <w:t xml:space="preserve">4.</w:t>
      </w:r>
      <w:r>
        <w:rPr>
          <w:szCs w:val="28"/>
          <w:shd w:val="clear" w:color="auto" w:fill="ffffff"/>
          <w:lang w:eastAsia="uk-UA"/>
        </w:rPr>
        <w:t xml:space="preserve">7</w:t>
      </w:r>
      <w:r>
        <w:rPr>
          <w:szCs w:val="28"/>
          <w:shd w:val="clear" w:color="auto" w:fill="ffffff"/>
          <w:lang w:eastAsia="uk-UA"/>
        </w:rPr>
        <w:t xml:space="preserve">. У разі відмови переможця конкурсу від укладання договору з балансоутримувачем конкурс проводиться повторно.  </w:t>
      </w:r>
      <w:r>
        <w:rPr>
          <w:szCs w:val="28"/>
          <w:shd w:val="clear" w:color="auto" w:fill="ffffff"/>
          <w:lang w:eastAsia="uk-UA"/>
        </w:rPr>
      </w:r>
    </w:p>
    <w:p>
      <w:pPr>
        <w:pStyle w:val="634"/>
        <w:pBdr/>
        <w:spacing/>
        <w:ind w:firstLine="709"/>
        <w:jc w:val="both"/>
        <w:rPr>
          <w:szCs w:val="28"/>
        </w:rPr>
      </w:pPr>
      <w:r>
        <w:rPr>
          <w:szCs w:val="28"/>
          <w:shd w:val="clear" w:color="auto" w:fill="ffffff"/>
          <w:lang w:eastAsia="uk-UA"/>
        </w:rPr>
        <w:t xml:space="preserve">4.</w:t>
      </w:r>
      <w:r>
        <w:rPr>
          <w:szCs w:val="28"/>
          <w:shd w:val="clear" w:color="auto" w:fill="ffffff"/>
          <w:lang w:eastAsia="uk-UA"/>
        </w:rPr>
        <w:t xml:space="preserve">8</w:t>
      </w:r>
      <w:r>
        <w:rPr>
          <w:szCs w:val="28"/>
          <w:shd w:val="clear" w:color="auto" w:fill="ffffff"/>
          <w:lang w:eastAsia="uk-UA"/>
        </w:rPr>
        <w:t xml:space="preserve">. Конкурсна документація зберігається протягом терміну дії договору та не підлягає поверненню учасникам конкурсу.</w:t>
      </w:r>
      <w:r>
        <w:rPr>
          <w:szCs w:val="28"/>
        </w:rPr>
      </w:r>
      <w:r>
        <w:rPr>
          <w:szCs w:val="28"/>
        </w:rPr>
      </w:r>
    </w:p>
    <w:sectPr>
      <w:footnotePr/>
      <w:endnotePr/>
      <w:type w:val="nextPage"/>
      <w:pgSz w:h="16838" w:orient="portrait" w:w="11906"/>
      <w:pgMar w:top="1134" w:right="850" w:bottom="1134"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Times New Roman">
    <w:panose1 w:val="02020603050405020304"/>
  </w:font>
  <w:font w:name="Segoe UI">
    <w:panose1 w:val="020B0502040504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tabs>
          <w:tab w:val="num" w:leader="none" w:pos="1080"/>
        </w:tabs>
        <w:spacing/>
        <w:ind w:hanging="360" w:left="1080"/>
      </w:pPr>
      <w:rPr>
        <w:rFonts w:ascii="Times New Roman" w:hAnsi="Times New Roman" w:eastAsia="Times New Roman" w:cs="Times New Roman"/>
      </w:rPr>
      <w:start w:val="0"/>
      <w:suff w:val="tab"/>
    </w:lvl>
    <w:lvl w:ilvl="1">
      <w:isLgl w:val="false"/>
      <w:lvlJc w:val="left"/>
      <w:lvlText w:val="o"/>
      <w:numFmt w:val="bullet"/>
      <w:pPr>
        <w:pBdr/>
        <w:tabs>
          <w:tab w:val="num" w:leader="none" w:pos="1800"/>
        </w:tabs>
        <w:spacing/>
        <w:ind w:hanging="360" w:left="1800"/>
      </w:pPr>
      <w:rPr>
        <w:rFonts w:ascii="Courier New" w:hAnsi="Courier New" w:cs="Courier New"/>
      </w:rPr>
      <w:start w:val="1"/>
      <w:suff w:val="tab"/>
    </w:lvl>
    <w:lvl w:ilvl="2">
      <w:isLgl w:val="false"/>
      <w:lvlJc w:val="left"/>
      <w:lvlText w:val=""/>
      <w:numFmt w:val="bullet"/>
      <w:pPr>
        <w:pBdr/>
        <w:tabs>
          <w:tab w:val="num" w:leader="none" w:pos="2520"/>
        </w:tabs>
        <w:spacing/>
        <w:ind w:hanging="360" w:left="2520"/>
      </w:pPr>
      <w:rPr>
        <w:rFonts w:ascii="Wingdings" w:hAnsi="Wingdings"/>
      </w:rPr>
      <w:start w:val="1"/>
      <w:suff w:val="tab"/>
    </w:lvl>
    <w:lvl w:ilvl="3">
      <w:isLgl w:val="false"/>
      <w:lvlJc w:val="left"/>
      <w:lvlText w:val=""/>
      <w:numFmt w:val="bullet"/>
      <w:pPr>
        <w:pBdr/>
        <w:tabs>
          <w:tab w:val="num" w:leader="none" w:pos="3240"/>
        </w:tabs>
        <w:spacing/>
        <w:ind w:hanging="360" w:left="3240"/>
      </w:pPr>
      <w:rPr>
        <w:rFonts w:ascii="Symbol" w:hAnsi="Symbol"/>
      </w:rPr>
      <w:start w:val="1"/>
      <w:suff w:val="tab"/>
    </w:lvl>
    <w:lvl w:ilvl="4">
      <w:isLgl w:val="false"/>
      <w:lvlJc w:val="left"/>
      <w:lvlText w:val="o"/>
      <w:numFmt w:val="bullet"/>
      <w:pPr>
        <w:pBdr/>
        <w:tabs>
          <w:tab w:val="num" w:leader="none" w:pos="3960"/>
        </w:tabs>
        <w:spacing/>
        <w:ind w:hanging="360" w:left="3960"/>
      </w:pPr>
      <w:rPr>
        <w:rFonts w:ascii="Courier New" w:hAnsi="Courier New" w:cs="Courier New"/>
      </w:rPr>
      <w:start w:val="1"/>
      <w:suff w:val="tab"/>
    </w:lvl>
    <w:lvl w:ilvl="5">
      <w:isLgl w:val="false"/>
      <w:lvlJc w:val="left"/>
      <w:lvlText w:val=""/>
      <w:numFmt w:val="bullet"/>
      <w:pPr>
        <w:pBdr/>
        <w:tabs>
          <w:tab w:val="num" w:leader="none" w:pos="4680"/>
        </w:tabs>
        <w:spacing/>
        <w:ind w:hanging="360" w:left="4680"/>
      </w:pPr>
      <w:rPr>
        <w:rFonts w:ascii="Wingdings" w:hAnsi="Wingdings"/>
      </w:rPr>
      <w:start w:val="1"/>
      <w:suff w:val="tab"/>
    </w:lvl>
    <w:lvl w:ilvl="6">
      <w:isLgl w:val="false"/>
      <w:lvlJc w:val="left"/>
      <w:lvlText w:val=""/>
      <w:numFmt w:val="bullet"/>
      <w:pPr>
        <w:pBdr/>
        <w:tabs>
          <w:tab w:val="num" w:leader="none" w:pos="5400"/>
        </w:tabs>
        <w:spacing/>
        <w:ind w:hanging="360" w:left="5400"/>
      </w:pPr>
      <w:rPr>
        <w:rFonts w:ascii="Symbol" w:hAnsi="Symbol"/>
      </w:rPr>
      <w:start w:val="1"/>
      <w:suff w:val="tab"/>
    </w:lvl>
    <w:lvl w:ilvl="7">
      <w:isLgl w:val="false"/>
      <w:lvlJc w:val="left"/>
      <w:lvlText w:val="o"/>
      <w:numFmt w:val="bullet"/>
      <w:pPr>
        <w:pBdr/>
        <w:tabs>
          <w:tab w:val="num" w:leader="none" w:pos="6120"/>
        </w:tabs>
        <w:spacing/>
        <w:ind w:hanging="360" w:left="6120"/>
      </w:pPr>
      <w:rPr>
        <w:rFonts w:ascii="Courier New" w:hAnsi="Courier New" w:cs="Courier New"/>
      </w:rPr>
      <w:start w:val="1"/>
      <w:suff w:val="tab"/>
    </w:lvl>
    <w:lvl w:ilvl="8">
      <w:isLgl w:val="false"/>
      <w:lvlJc w:val="left"/>
      <w:lvlText w:val=""/>
      <w:numFmt w:val="bullet"/>
      <w:pPr>
        <w:pBdr/>
        <w:tabs>
          <w:tab w:val="num" w:leader="none" w:pos="6840"/>
        </w:tabs>
        <w:spacing/>
        <w:ind w:hanging="360" w:left="6840"/>
      </w:pPr>
      <w:rPr>
        <w:rFonts w:ascii="Wingdings" w:hAnsi="Wingdings"/>
      </w:rPr>
      <w:start w:val="1"/>
      <w:suff w:val="tab"/>
    </w:lvl>
  </w:abstractNum>
  <w:abstractNum w:abstractNumId="2">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uk-UA"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
    <w:name w:val="Table Grid"/>
    <w:basedOn w:val="10"/>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1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1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1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1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1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1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1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1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1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1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1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1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1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1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1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1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1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1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1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34"/>
    <w:next w:val="634"/>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34"/>
    <w:next w:val="634"/>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34"/>
    <w:next w:val="634"/>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34"/>
    <w:next w:val="63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34"/>
    <w:next w:val="63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34"/>
    <w:next w:val="63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34"/>
    <w:next w:val="63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34"/>
    <w:next w:val="63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34"/>
    <w:next w:val="63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7" w:default="1">
    <w:name w:val="Default Paragraph Font"/>
    <w:uiPriority w:val="1"/>
    <w:semiHidden/>
    <w:unhideWhenUsed/>
    <w:pPr>
      <w:pBdr/>
      <w:spacing/>
      <w:ind/>
    </w:pPr>
  </w:style>
  <w:style w:type="numbering" w:styleId="148" w:default="1">
    <w:name w:val="No List"/>
    <w:uiPriority w:val="99"/>
    <w:semiHidden/>
    <w:unhideWhenUsed/>
    <w:pPr>
      <w:pBdr/>
      <w:spacing/>
      <w:ind/>
    </w:pPr>
  </w:style>
  <w:style w:type="character" w:styleId="149">
    <w:name w:val="Heading 1 Char"/>
    <w:basedOn w:val="147"/>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147"/>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147"/>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147"/>
    <w:link w:val="141"/>
    <w:uiPriority w:val="9"/>
    <w:pPr>
      <w:pBdr/>
      <w:spacing/>
      <w:ind/>
    </w:pPr>
    <w:rPr>
      <w:rFonts w:ascii="Arial" w:hAnsi="Arial" w:eastAsia="Arial" w:cs="Arial"/>
      <w:i/>
      <w:iCs/>
      <w:color w:val="0f4761" w:themeColor="accent1" w:themeShade="BF"/>
    </w:rPr>
  </w:style>
  <w:style w:type="character" w:styleId="153">
    <w:name w:val="Heading 5 Char"/>
    <w:basedOn w:val="147"/>
    <w:link w:val="142"/>
    <w:uiPriority w:val="9"/>
    <w:pPr>
      <w:pBdr/>
      <w:spacing/>
      <w:ind/>
    </w:pPr>
    <w:rPr>
      <w:rFonts w:ascii="Arial" w:hAnsi="Arial" w:eastAsia="Arial" w:cs="Arial"/>
      <w:color w:val="0f4761" w:themeColor="accent1" w:themeShade="BF"/>
    </w:rPr>
  </w:style>
  <w:style w:type="character" w:styleId="154">
    <w:name w:val="Heading 6 Char"/>
    <w:basedOn w:val="147"/>
    <w:link w:val="143"/>
    <w:uiPriority w:val="9"/>
    <w:pPr>
      <w:pBdr/>
      <w:spacing/>
      <w:ind/>
    </w:pPr>
    <w:rPr>
      <w:rFonts w:ascii="Arial" w:hAnsi="Arial" w:eastAsia="Arial" w:cs="Arial"/>
      <w:i/>
      <w:iCs/>
      <w:color w:val="595959" w:themeColor="text1" w:themeTint="A6"/>
    </w:rPr>
  </w:style>
  <w:style w:type="character" w:styleId="155">
    <w:name w:val="Heading 7 Char"/>
    <w:basedOn w:val="147"/>
    <w:link w:val="144"/>
    <w:uiPriority w:val="9"/>
    <w:pPr>
      <w:pBdr/>
      <w:spacing/>
      <w:ind/>
    </w:pPr>
    <w:rPr>
      <w:rFonts w:ascii="Arial" w:hAnsi="Arial" w:eastAsia="Arial" w:cs="Arial"/>
      <w:color w:val="595959" w:themeColor="text1" w:themeTint="A6"/>
    </w:rPr>
  </w:style>
  <w:style w:type="character" w:styleId="156">
    <w:name w:val="Heading 8 Char"/>
    <w:basedOn w:val="147"/>
    <w:link w:val="145"/>
    <w:uiPriority w:val="9"/>
    <w:pPr>
      <w:pBdr/>
      <w:spacing/>
      <w:ind/>
    </w:pPr>
    <w:rPr>
      <w:rFonts w:ascii="Arial" w:hAnsi="Arial" w:eastAsia="Arial" w:cs="Arial"/>
      <w:i/>
      <w:iCs/>
      <w:color w:val="272727" w:themeColor="text1" w:themeTint="D8"/>
    </w:rPr>
  </w:style>
  <w:style w:type="character" w:styleId="157">
    <w:name w:val="Heading 9 Char"/>
    <w:basedOn w:val="147"/>
    <w:link w:val="146"/>
    <w:uiPriority w:val="9"/>
    <w:pPr>
      <w:pBdr/>
      <w:spacing/>
      <w:ind/>
    </w:pPr>
    <w:rPr>
      <w:rFonts w:ascii="Arial" w:hAnsi="Arial" w:eastAsia="Arial" w:cs="Arial"/>
      <w:i/>
      <w:iCs/>
      <w:color w:val="272727" w:themeColor="text1" w:themeTint="D8"/>
    </w:rPr>
  </w:style>
  <w:style w:type="paragraph" w:styleId="158">
    <w:name w:val="Title"/>
    <w:basedOn w:val="634"/>
    <w:next w:val="63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47"/>
    <w:link w:val="158"/>
    <w:uiPriority w:val="10"/>
    <w:pPr>
      <w:pBdr/>
      <w:spacing/>
      <w:ind/>
    </w:pPr>
    <w:rPr>
      <w:rFonts w:ascii="Arial" w:hAnsi="Arial" w:eastAsia="Arial" w:cs="Arial"/>
      <w:spacing w:val="-10"/>
      <w:sz w:val="56"/>
      <w:szCs w:val="56"/>
    </w:rPr>
  </w:style>
  <w:style w:type="paragraph" w:styleId="160">
    <w:name w:val="Subtitle"/>
    <w:basedOn w:val="634"/>
    <w:next w:val="634"/>
    <w:link w:val="161"/>
    <w:uiPriority w:val="11"/>
    <w:qFormat/>
    <w:pPr>
      <w:numPr>
        <w:ilvl w:val="1"/>
      </w:numPr>
      <w:pBdr/>
      <w:spacing/>
      <w:ind/>
    </w:pPr>
    <w:rPr>
      <w:color w:val="595959" w:themeColor="text1" w:themeTint="A6"/>
      <w:spacing w:val="15"/>
      <w:sz w:val="28"/>
      <w:szCs w:val="28"/>
    </w:rPr>
  </w:style>
  <w:style w:type="character" w:styleId="161">
    <w:name w:val="Subtitle Char"/>
    <w:basedOn w:val="147"/>
    <w:link w:val="160"/>
    <w:uiPriority w:val="11"/>
    <w:pPr>
      <w:pBdr/>
      <w:spacing/>
      <w:ind/>
    </w:pPr>
    <w:rPr>
      <w:color w:val="595959" w:themeColor="text1" w:themeTint="A6"/>
      <w:spacing w:val="15"/>
      <w:sz w:val="28"/>
      <w:szCs w:val="28"/>
    </w:rPr>
  </w:style>
  <w:style w:type="paragraph" w:styleId="162">
    <w:name w:val="Quote"/>
    <w:basedOn w:val="634"/>
    <w:next w:val="634"/>
    <w:link w:val="163"/>
    <w:uiPriority w:val="29"/>
    <w:qFormat/>
    <w:pPr>
      <w:pBdr/>
      <w:spacing w:before="160"/>
      <w:ind/>
      <w:jc w:val="center"/>
    </w:pPr>
    <w:rPr>
      <w:i/>
      <w:iCs/>
      <w:color w:val="404040" w:themeColor="text1" w:themeTint="BF"/>
    </w:rPr>
  </w:style>
  <w:style w:type="character" w:styleId="163">
    <w:name w:val="Quote Char"/>
    <w:basedOn w:val="147"/>
    <w:link w:val="162"/>
    <w:uiPriority w:val="29"/>
    <w:pPr>
      <w:pBdr/>
      <w:spacing/>
      <w:ind/>
    </w:pPr>
    <w:rPr>
      <w:i/>
      <w:iCs/>
      <w:color w:val="404040" w:themeColor="text1" w:themeTint="BF"/>
    </w:rPr>
  </w:style>
  <w:style w:type="paragraph" w:styleId="164">
    <w:name w:val="List Paragraph"/>
    <w:basedOn w:val="634"/>
    <w:uiPriority w:val="34"/>
    <w:qFormat/>
    <w:pPr>
      <w:pBdr/>
      <w:spacing/>
      <w:ind w:left="720"/>
      <w:contextualSpacing w:val="true"/>
    </w:pPr>
  </w:style>
  <w:style w:type="character" w:styleId="165">
    <w:name w:val="Intense Emphasis"/>
    <w:basedOn w:val="147"/>
    <w:uiPriority w:val="21"/>
    <w:qFormat/>
    <w:pPr>
      <w:pBdr/>
      <w:spacing/>
      <w:ind/>
    </w:pPr>
    <w:rPr>
      <w:i/>
      <w:iCs/>
      <w:color w:val="0f4761" w:themeColor="accent1" w:themeShade="BF"/>
    </w:rPr>
  </w:style>
  <w:style w:type="paragraph" w:styleId="166">
    <w:name w:val="Intense Quote"/>
    <w:basedOn w:val="634"/>
    <w:next w:val="63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47"/>
    <w:link w:val="166"/>
    <w:uiPriority w:val="30"/>
    <w:pPr>
      <w:pBdr/>
      <w:spacing/>
      <w:ind/>
    </w:pPr>
    <w:rPr>
      <w:i/>
      <w:iCs/>
      <w:color w:val="0f4761" w:themeColor="accent1" w:themeShade="BF"/>
    </w:rPr>
  </w:style>
  <w:style w:type="character" w:styleId="168">
    <w:name w:val="Intense Reference"/>
    <w:basedOn w:val="147"/>
    <w:uiPriority w:val="32"/>
    <w:qFormat/>
    <w:pPr>
      <w:pBdr/>
      <w:spacing/>
      <w:ind/>
    </w:pPr>
    <w:rPr>
      <w:b/>
      <w:bCs/>
      <w:smallCaps/>
      <w:color w:val="0f4761" w:themeColor="accent1" w:themeShade="BF"/>
      <w:spacing w:val="5"/>
    </w:rPr>
  </w:style>
  <w:style w:type="paragraph" w:styleId="169">
    <w:name w:val="No Spacing"/>
    <w:basedOn w:val="634"/>
    <w:uiPriority w:val="1"/>
    <w:qFormat/>
    <w:pPr>
      <w:pBdr/>
      <w:spacing w:after="0" w:line="240" w:lineRule="auto"/>
      <w:ind/>
    </w:pPr>
  </w:style>
  <w:style w:type="character" w:styleId="170">
    <w:name w:val="Subtle Emphasis"/>
    <w:basedOn w:val="147"/>
    <w:uiPriority w:val="19"/>
    <w:qFormat/>
    <w:pPr>
      <w:pBdr/>
      <w:spacing/>
      <w:ind/>
    </w:pPr>
    <w:rPr>
      <w:i/>
      <w:iCs/>
      <w:color w:val="404040" w:themeColor="text1" w:themeTint="BF"/>
    </w:rPr>
  </w:style>
  <w:style w:type="character" w:styleId="171">
    <w:name w:val="Emphasis"/>
    <w:basedOn w:val="147"/>
    <w:uiPriority w:val="20"/>
    <w:qFormat/>
    <w:pPr>
      <w:pBdr/>
      <w:spacing/>
      <w:ind/>
    </w:pPr>
    <w:rPr>
      <w:i/>
      <w:iCs/>
    </w:rPr>
  </w:style>
  <w:style w:type="character" w:styleId="172">
    <w:name w:val="Strong"/>
    <w:basedOn w:val="147"/>
    <w:uiPriority w:val="22"/>
    <w:qFormat/>
    <w:pPr>
      <w:pBdr/>
      <w:spacing/>
      <w:ind/>
    </w:pPr>
    <w:rPr>
      <w:b/>
      <w:bCs/>
    </w:rPr>
  </w:style>
  <w:style w:type="character" w:styleId="173">
    <w:name w:val="Subtle Reference"/>
    <w:basedOn w:val="147"/>
    <w:uiPriority w:val="31"/>
    <w:qFormat/>
    <w:pPr>
      <w:pBdr/>
      <w:spacing/>
      <w:ind/>
    </w:pPr>
    <w:rPr>
      <w:smallCaps/>
      <w:color w:val="5a5a5a" w:themeColor="text1" w:themeTint="A5"/>
    </w:rPr>
  </w:style>
  <w:style w:type="character" w:styleId="174">
    <w:name w:val="Book Title"/>
    <w:basedOn w:val="147"/>
    <w:uiPriority w:val="33"/>
    <w:qFormat/>
    <w:pPr>
      <w:pBdr/>
      <w:spacing/>
      <w:ind/>
    </w:pPr>
    <w:rPr>
      <w:b/>
      <w:bCs/>
      <w:i/>
      <w:iCs/>
      <w:spacing w:val="5"/>
    </w:rPr>
  </w:style>
  <w:style w:type="paragraph" w:styleId="175">
    <w:name w:val="Header"/>
    <w:basedOn w:val="634"/>
    <w:link w:val="176"/>
    <w:uiPriority w:val="99"/>
    <w:unhideWhenUsed/>
    <w:pPr>
      <w:pBdr/>
      <w:tabs>
        <w:tab w:val="center" w:leader="none" w:pos="4844"/>
        <w:tab w:val="right" w:leader="none" w:pos="9689"/>
      </w:tabs>
      <w:spacing w:after="0" w:line="240" w:lineRule="auto"/>
      <w:ind/>
    </w:pPr>
  </w:style>
  <w:style w:type="character" w:styleId="176">
    <w:name w:val="Header Char"/>
    <w:basedOn w:val="147"/>
    <w:link w:val="175"/>
    <w:uiPriority w:val="99"/>
    <w:pPr>
      <w:pBdr/>
      <w:spacing/>
      <w:ind/>
    </w:pPr>
  </w:style>
  <w:style w:type="paragraph" w:styleId="177">
    <w:name w:val="Footer"/>
    <w:basedOn w:val="634"/>
    <w:link w:val="178"/>
    <w:uiPriority w:val="99"/>
    <w:unhideWhenUsed/>
    <w:pPr>
      <w:pBdr/>
      <w:tabs>
        <w:tab w:val="center" w:leader="none" w:pos="4844"/>
        <w:tab w:val="right" w:leader="none" w:pos="9689"/>
      </w:tabs>
      <w:spacing w:after="0" w:line="240" w:lineRule="auto"/>
      <w:ind/>
    </w:pPr>
  </w:style>
  <w:style w:type="character" w:styleId="178">
    <w:name w:val="Footer Char"/>
    <w:basedOn w:val="147"/>
    <w:link w:val="177"/>
    <w:uiPriority w:val="99"/>
    <w:pPr>
      <w:pBdr/>
      <w:spacing/>
      <w:ind/>
    </w:pPr>
  </w:style>
  <w:style w:type="paragraph" w:styleId="179">
    <w:name w:val="Caption"/>
    <w:basedOn w:val="634"/>
    <w:next w:val="634"/>
    <w:uiPriority w:val="35"/>
    <w:unhideWhenUsed/>
    <w:qFormat/>
    <w:pPr>
      <w:pBdr/>
      <w:spacing w:after="200" w:line="240" w:lineRule="auto"/>
      <w:ind/>
    </w:pPr>
    <w:rPr>
      <w:i/>
      <w:iCs/>
      <w:color w:val="0e2841" w:themeColor="text2"/>
      <w:sz w:val="18"/>
      <w:szCs w:val="18"/>
    </w:rPr>
  </w:style>
  <w:style w:type="paragraph" w:styleId="180">
    <w:name w:val="footnote text"/>
    <w:basedOn w:val="634"/>
    <w:link w:val="181"/>
    <w:uiPriority w:val="99"/>
    <w:semiHidden/>
    <w:unhideWhenUsed/>
    <w:pPr>
      <w:pBdr/>
      <w:spacing w:after="0" w:line="240" w:lineRule="auto"/>
      <w:ind/>
    </w:pPr>
    <w:rPr>
      <w:sz w:val="20"/>
      <w:szCs w:val="20"/>
    </w:rPr>
  </w:style>
  <w:style w:type="character" w:styleId="181">
    <w:name w:val="Footnote Text Char"/>
    <w:basedOn w:val="147"/>
    <w:link w:val="180"/>
    <w:uiPriority w:val="99"/>
    <w:semiHidden/>
    <w:pPr>
      <w:pBdr/>
      <w:spacing/>
      <w:ind/>
    </w:pPr>
    <w:rPr>
      <w:sz w:val="20"/>
      <w:szCs w:val="20"/>
    </w:rPr>
  </w:style>
  <w:style w:type="character" w:styleId="182">
    <w:name w:val="footnote reference"/>
    <w:basedOn w:val="147"/>
    <w:uiPriority w:val="99"/>
    <w:semiHidden/>
    <w:unhideWhenUsed/>
    <w:pPr>
      <w:pBdr/>
      <w:spacing/>
      <w:ind/>
    </w:pPr>
    <w:rPr>
      <w:vertAlign w:val="superscript"/>
    </w:rPr>
  </w:style>
  <w:style w:type="paragraph" w:styleId="183">
    <w:name w:val="endnote text"/>
    <w:basedOn w:val="634"/>
    <w:link w:val="184"/>
    <w:uiPriority w:val="99"/>
    <w:semiHidden/>
    <w:unhideWhenUsed/>
    <w:pPr>
      <w:pBdr/>
      <w:spacing w:after="0" w:line="240" w:lineRule="auto"/>
      <w:ind/>
    </w:pPr>
    <w:rPr>
      <w:sz w:val="20"/>
      <w:szCs w:val="20"/>
    </w:rPr>
  </w:style>
  <w:style w:type="character" w:styleId="184">
    <w:name w:val="Endnote Text Char"/>
    <w:basedOn w:val="147"/>
    <w:link w:val="183"/>
    <w:uiPriority w:val="99"/>
    <w:semiHidden/>
    <w:pPr>
      <w:pBdr/>
      <w:spacing/>
      <w:ind/>
    </w:pPr>
    <w:rPr>
      <w:sz w:val="20"/>
      <w:szCs w:val="20"/>
    </w:rPr>
  </w:style>
  <w:style w:type="character" w:styleId="185">
    <w:name w:val="endnote reference"/>
    <w:basedOn w:val="147"/>
    <w:uiPriority w:val="99"/>
    <w:semiHidden/>
    <w:unhideWhenUsed/>
    <w:pPr>
      <w:pBdr/>
      <w:spacing/>
      <w:ind/>
    </w:pPr>
    <w:rPr>
      <w:vertAlign w:val="superscript"/>
    </w:rPr>
  </w:style>
  <w:style w:type="character" w:styleId="186">
    <w:name w:val="Hyperlink"/>
    <w:basedOn w:val="147"/>
    <w:uiPriority w:val="99"/>
    <w:unhideWhenUsed/>
    <w:pPr>
      <w:pBdr/>
      <w:spacing/>
      <w:ind/>
    </w:pPr>
    <w:rPr>
      <w:color w:val="0563c1" w:themeColor="hyperlink"/>
      <w:u w:val="single"/>
    </w:rPr>
  </w:style>
  <w:style w:type="character" w:styleId="187">
    <w:name w:val="FollowedHyperlink"/>
    <w:basedOn w:val="147"/>
    <w:uiPriority w:val="99"/>
    <w:semiHidden/>
    <w:unhideWhenUsed/>
    <w:pPr>
      <w:pBdr/>
      <w:spacing/>
      <w:ind/>
    </w:pPr>
    <w:rPr>
      <w:color w:val="954f72" w:themeColor="followedHyperlink"/>
      <w:u w:val="single"/>
    </w:rPr>
  </w:style>
  <w:style w:type="paragraph" w:styleId="197">
    <w:name w:val="TOC Heading"/>
    <w:uiPriority w:val="39"/>
    <w:unhideWhenUsed/>
    <w:pPr>
      <w:pBdr/>
      <w:spacing/>
      <w:ind/>
    </w:pPr>
  </w:style>
  <w:style w:type="paragraph" w:styleId="198">
    <w:name w:val="table of figures"/>
    <w:basedOn w:val="634"/>
    <w:next w:val="634"/>
    <w:uiPriority w:val="99"/>
    <w:unhideWhenUsed/>
    <w:pPr>
      <w:pBdr/>
      <w:spacing w:after="0" w:afterAutospacing="0"/>
      <w:ind/>
    </w:pPr>
  </w:style>
  <w:style w:type="paragraph" w:styleId="634" w:default="1">
    <w:name w:val="Normal"/>
    <w:next w:val="634"/>
    <w:link w:val="634"/>
    <w:qFormat/>
    <w:pPr>
      <w:pBdr/>
      <w:spacing/>
      <w:ind/>
    </w:pPr>
    <w:rPr>
      <w:sz w:val="28"/>
      <w:szCs w:val="24"/>
      <w:lang w:val="uk-UA" w:eastAsia="ru-RU" w:bidi="ar-SA"/>
    </w:rPr>
  </w:style>
  <w:style w:type="character" w:styleId="635">
    <w:name w:val="Основной шрифт абзаца"/>
    <w:next w:val="635"/>
    <w:link w:val="634"/>
    <w:semiHidden/>
    <w:pPr>
      <w:pBdr/>
      <w:spacing/>
      <w:ind/>
    </w:pPr>
  </w:style>
  <w:style w:type="table" w:styleId="636">
    <w:name w:val="Обычная таблица"/>
    <w:next w:val="636"/>
    <w:link w:val="634"/>
    <w:semiHidden/>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37">
    <w:name w:val="Нет списка"/>
    <w:next w:val="637"/>
    <w:link w:val="634"/>
    <w:semiHidden/>
    <w:pPr>
      <w:pBdr/>
      <w:spacing/>
      <w:ind/>
    </w:pPr>
  </w:style>
  <w:style w:type="table" w:styleId="638">
    <w:name w:val="Сетка таблицы"/>
    <w:basedOn w:val="636"/>
    <w:next w:val="638"/>
    <w:link w:val="634"/>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639">
    <w:name w:val="Верхний колонтитул"/>
    <w:basedOn w:val="634"/>
    <w:next w:val="639"/>
    <w:link w:val="640"/>
    <w:pPr>
      <w:pBdr/>
      <w:tabs>
        <w:tab w:val="center" w:leader="none" w:pos="4677"/>
        <w:tab w:val="right" w:leader="none" w:pos="9355"/>
      </w:tabs>
      <w:spacing/>
      <w:ind/>
    </w:pPr>
    <w:rPr>
      <w:lang w:eastAsia="en-US"/>
    </w:rPr>
  </w:style>
  <w:style w:type="character" w:styleId="640">
    <w:name w:val="Верхний колонтитул Знак"/>
    <w:next w:val="640"/>
    <w:link w:val="639"/>
    <w:pPr>
      <w:pBdr/>
      <w:spacing/>
      <w:ind/>
    </w:pPr>
    <w:rPr>
      <w:sz w:val="28"/>
      <w:szCs w:val="24"/>
      <w:lang w:val="uk-UA"/>
    </w:rPr>
  </w:style>
  <w:style w:type="paragraph" w:styleId="641">
    <w:name w:val="Нижний колонтитул"/>
    <w:basedOn w:val="634"/>
    <w:next w:val="641"/>
    <w:link w:val="642"/>
    <w:pPr>
      <w:pBdr/>
      <w:tabs>
        <w:tab w:val="center" w:leader="none" w:pos="4677"/>
        <w:tab w:val="right" w:leader="none" w:pos="9355"/>
      </w:tabs>
      <w:spacing/>
      <w:ind/>
    </w:pPr>
    <w:rPr>
      <w:lang w:eastAsia="en-US"/>
    </w:rPr>
  </w:style>
  <w:style w:type="character" w:styleId="642">
    <w:name w:val="Нижний колонтитул Знак"/>
    <w:next w:val="642"/>
    <w:link w:val="641"/>
    <w:pPr>
      <w:pBdr/>
      <w:spacing/>
      <w:ind/>
    </w:pPr>
    <w:rPr>
      <w:sz w:val="28"/>
      <w:szCs w:val="24"/>
      <w:lang w:val="uk-UA"/>
    </w:rPr>
  </w:style>
  <w:style w:type="paragraph" w:styleId="643">
    <w:name w:val="Текст выноски"/>
    <w:basedOn w:val="634"/>
    <w:next w:val="643"/>
    <w:link w:val="644"/>
    <w:pPr>
      <w:pBdr/>
      <w:spacing/>
      <w:ind/>
    </w:pPr>
    <w:rPr>
      <w:rFonts w:ascii="Segoe UI" w:hAnsi="Segoe UI" w:cs="Segoe UI"/>
      <w:sz w:val="18"/>
      <w:szCs w:val="18"/>
      <w:lang w:eastAsia="en-US"/>
    </w:rPr>
  </w:style>
  <w:style w:type="character" w:styleId="644">
    <w:name w:val="Текст выноски Знак"/>
    <w:next w:val="644"/>
    <w:link w:val="643"/>
    <w:pPr>
      <w:pBdr/>
      <w:spacing/>
      <w:ind/>
    </w:pPr>
    <w:rPr>
      <w:rFonts w:ascii="Segoe UI" w:hAnsi="Segoe UI" w:cs="Segoe UI"/>
      <w:sz w:val="18"/>
      <w:szCs w:val="18"/>
      <w:lang w:val="uk-UA" w:bidi="ar-SA"/>
    </w:rPr>
  </w:style>
  <w:style w:type="paragraph" w:styleId="645">
    <w:name w:val="Абзац списка"/>
    <w:basedOn w:val="634"/>
    <w:next w:val="645"/>
    <w:link w:val="634"/>
    <w:uiPriority w:val="34"/>
    <w:qFormat/>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left="720"/>
      <w:contextualSpacing w:val="true"/>
      <w:jc w:val="both"/>
    </w:pPr>
    <w:rPr>
      <w:color w:val="000000"/>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ONLYOFFICE/8.1.3.4</Application>
  <Company>Организация</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-=Galkin=-</dc:creator>
  <cp:lastModifiedBy>Зубчевська Юлія Михайлівна</cp:lastModifiedBy>
  <cp:revision>6</cp:revision>
  <dcterms:created xsi:type="dcterms:W3CDTF">2026-07-21T08:01:00Z</dcterms:created>
  <dcterms:modified xsi:type="dcterms:W3CDTF">2026-07-21T08:43:06Z</dcterms:modified>
  <cp:version>1048576</cp:version>
</cp:coreProperties>
</file>