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2"/>
        <w:pBdr/>
        <w:spacing/>
        <w:ind/>
        <w:jc w:val="lef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22"/>
        <w:pBdr/>
        <w:spacing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22"/>
        <w:pBdr/>
        <w:spacing/>
        <w:ind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</w:r>
      <w:r>
        <w:rPr>
          <w:rFonts w:eastAsia="Times New Roman" w:cs="Times New Roman"/>
          <w:color w:val="000000"/>
          <w:sz w:val="16"/>
          <w:szCs w:val="16"/>
        </w:rPr>
      </w:r>
      <w:r>
        <w:rPr>
          <w:rFonts w:eastAsia="Times New Roman" w:cs="Times New Roman"/>
          <w:color w:val="000000"/>
          <w:sz w:val="16"/>
          <w:szCs w:val="16"/>
        </w:rPr>
      </w:r>
    </w:p>
    <w:p>
      <w:pPr>
        <w:pBdr/>
        <w:spacing/>
        <w:ind w:firstLine="0"/>
        <w:jc w:val="center"/>
        <w:rPr/>
      </w:pPr>
      <w:r>
        <w:rPr>
          <w:b/>
        </w:rPr>
        <w:t xml:space="preserve">(</w:t>
      </w:r>
      <w:r>
        <w:rPr>
          <w:b/>
        </w:rPr>
        <w:t xml:space="preserve">сімдесят</w:t>
      </w:r>
      <w:r>
        <w:rPr>
          <w:b/>
        </w:rPr>
        <w:t xml:space="preserve"> </w:t>
      </w:r>
      <w:r>
        <w:rPr>
          <w:b/>
        </w:rPr>
        <w:t xml:space="preserve">п’ята</w:t>
      </w:r>
      <w:r>
        <w:rPr>
          <w:b/>
        </w:rPr>
        <w:t xml:space="preserve"> сесія восьмого скликання) </w:t>
      </w:r>
      <w:r/>
    </w:p>
    <w:p>
      <w:pPr>
        <w:pBdr/>
        <w:spacing/>
        <w:ind w:firstLine="0"/>
        <w:jc w:val="center"/>
        <w:rPr/>
      </w:pPr>
      <w:r>
        <w:rPr>
          <w:b/>
        </w:rPr>
        <w:t xml:space="preserve">ПРОЄКТ</w:t>
      </w:r>
      <w:r>
        <w:rPr>
          <w:b/>
        </w:rPr>
        <w:t xml:space="preserve"> РІШЕННЯ</w:t>
      </w:r>
      <w:r/>
    </w:p>
    <w:p>
      <w:pPr>
        <w:pBdr/>
        <w:tabs>
          <w:tab w:val="clear" w:leader="none" w:pos="709"/>
          <w:tab w:val="left" w:leader="none" w:pos="7088"/>
        </w:tabs>
        <w:spacing/>
        <w:ind/>
        <w:rPr/>
      </w:pPr>
      <w:r>
        <w:rPr>
          <w:sz w:val="22"/>
        </w:rPr>
        <w:t xml:space="preserve"> </w:t>
      </w:r>
      <w:r/>
    </w:p>
    <w:p>
      <w:pPr>
        <w:pBdr/>
        <w:tabs>
          <w:tab w:val="clear" w:leader="none" w:pos="709"/>
          <w:tab w:val="left" w:leader="none" w:pos="4394"/>
          <w:tab w:val="left" w:leader="none" w:pos="7370"/>
        </w:tabs>
        <w:spacing/>
        <w:ind w:firstLine="0"/>
        <w:rPr/>
      </w:pPr>
      <w:r>
        <w:t xml:space="preserve">24 липня 2026</w:t>
      </w:r>
      <w:r>
        <w:t xml:space="preserve"> року</w:t>
      </w:r>
      <w:r>
        <w:tab/>
        <w:t xml:space="preserve">м. </w:t>
      </w:r>
      <w:r>
        <w:t xml:space="preserve">Мена</w:t>
      </w:r>
      <w:r>
        <w:tab/>
        <w:t xml:space="preserve">№ </w:t>
      </w:r>
      <w:r/>
    </w:p>
    <w:p>
      <w:pPr>
        <w:pBdr/>
        <w:spacing/>
        <w:ind w:right="5528" w:firstLine="0"/>
        <w:rPr/>
      </w:pPr>
      <w:r/>
      <w:r/>
    </w:p>
    <w:p>
      <w:pPr>
        <w:pBdr/>
        <w:spacing/>
        <w:ind w:right="-1" w:firstLine="0"/>
        <w:rPr/>
      </w:pPr>
      <w:r>
        <w:rPr>
          <w:b/>
        </w:rPr>
        <w:t xml:space="preserve">Про погодження</w:t>
      </w:r>
      <w:r>
        <w:rPr>
          <w:b/>
        </w:rPr>
        <w:t xml:space="preserve"> та затвердження</w:t>
      </w:r>
      <w:r>
        <w:rPr>
          <w:b/>
        </w:rPr>
        <w:t xml:space="preserve"> </w:t>
      </w:r>
      <w:r>
        <w:rPr>
          <w:b/>
        </w:rPr>
        <w:t xml:space="preserve">ФОП </w:t>
      </w:r>
      <w:r>
        <w:rPr>
          <w:b/>
        </w:rPr>
        <w:t xml:space="preserve">Микитенку Юрію Михайловичу</w:t>
      </w:r>
      <w:r>
        <w:rPr>
          <w:b/>
        </w:rPr>
        <w:t xml:space="preserve"> технічної документації із землеустрою щодо встановленн</w:t>
      </w:r>
      <w:r>
        <w:rPr>
          <w:b/>
        </w:rPr>
        <w:t xml:space="preserve">я меж частини земельної ділянки</w:t>
      </w:r>
      <w:r>
        <w:rPr>
          <w:b/>
        </w:rPr>
        <w:t xml:space="preserve"> на яку поширюється право сервітуту та надання згоди на його встановлення</w:t>
      </w:r>
      <w:r/>
    </w:p>
    <w:p>
      <w:pPr>
        <w:pBdr/>
        <w:spacing/>
        <w:ind w:right="-1" w:firstLine="0"/>
        <w:rPr/>
      </w:pPr>
      <w:r/>
      <w:r/>
    </w:p>
    <w:p>
      <w:pPr>
        <w:pBdr/>
        <w:spacing/>
        <w:ind/>
        <w:rPr/>
      </w:pPr>
      <w:r>
        <w:t xml:space="preserve">Розглянувши звернення </w:t>
      </w:r>
      <w:r>
        <w:t xml:space="preserve">Фізичної особи-підприємця Микитенка Юрія Михайловича</w:t>
      </w:r>
      <w:r>
        <w:t xml:space="preserve"> про </w:t>
      </w:r>
      <w:r>
        <w:t xml:space="preserve">затвердження</w:t>
      </w:r>
      <w:r>
        <w:t xml:space="preserve"> </w:t>
      </w:r>
      <w:r>
        <w:t xml:space="preserve">технічної документації із землеустрою щодо встановлення меж частини земельної ділянки, на </w:t>
      </w:r>
      <w:r>
        <w:t xml:space="preserve">я</w:t>
      </w:r>
      <w:r>
        <w:t xml:space="preserve">ку поширюється право сервітуту,</w:t>
      </w:r>
      <w:r>
        <w:t xml:space="preserve"> площею 0,0</w:t>
      </w:r>
      <w:r>
        <w:t xml:space="preserve">300</w:t>
      </w:r>
      <w:r>
        <w:t xml:space="preserve"> га</w:t>
      </w:r>
      <w:r>
        <w:t xml:space="preserve"> з кодом 07.11 – Право розміщення тимчасових споруд (малих архітектурних форм)</w:t>
      </w:r>
      <w:r>
        <w:t xml:space="preserve">,</w:t>
      </w:r>
      <w:r>
        <w:t xml:space="preserve"> по вулиці Чернігівський шлях, </w:t>
      </w:r>
      <w:r>
        <w:t xml:space="preserve">в місті </w:t>
      </w:r>
      <w:r>
        <w:t xml:space="preserve">Мена,</w:t>
      </w:r>
      <w:r/>
      <w:r>
        <w:t xml:space="preserve"> </w:t>
      </w:r>
      <w:r>
        <w:t xml:space="preserve">Корюківського</w:t>
      </w:r>
      <w:r>
        <w:t xml:space="preserve"> району, Чернігівської області на земельній ділянці площею 0,1366 га кадастровий номер 7423010100:01:002:1177,</w:t>
      </w:r>
      <w:r>
        <w:t xml:space="preserve"> </w:t>
      </w:r>
      <w:r>
        <w:t xml:space="preserve">керуючись </w:t>
      </w:r>
      <w:r>
        <w:rPr>
          <w:szCs w:val="28"/>
        </w:rPr>
        <w:t xml:space="preserve">ст.</w:t>
      </w:r>
      <w:r>
        <w:rPr>
          <w:szCs w:val="28"/>
        </w:rPr>
        <w:t xml:space="preserve">124</w:t>
      </w:r>
      <w:r>
        <w:rPr>
          <w:szCs w:val="28"/>
          <w:vertAlign w:val="superscript"/>
        </w:rPr>
        <w:t xml:space="preserve">1</w:t>
      </w:r>
      <w:r>
        <w:rPr>
          <w:szCs w:val="28"/>
        </w:rPr>
        <w:t xml:space="preserve">, п. 5 ст.186 Земельного кодексу України</w:t>
      </w:r>
      <w:r>
        <w:rPr>
          <w:szCs w:val="28"/>
        </w:rPr>
        <w:t xml:space="preserve"> </w:t>
      </w:r>
      <w:r>
        <w:t xml:space="preserve">та п. 34 ч. 1 ст. 26 Закону України «Про місцеве самоврядування в Україні» Менська міська рада</w:t>
      </w:r>
      <w:r/>
    </w:p>
    <w:p>
      <w:pPr>
        <w:pBdr/>
        <w:tabs>
          <w:tab w:val="clear" w:leader="none" w:pos="709"/>
          <w:tab w:val="left" w:leader="none" w:pos="3850"/>
        </w:tabs>
        <w:spacing/>
        <w:ind w:firstLine="0"/>
        <w:rPr/>
      </w:pPr>
      <w:r>
        <w:t xml:space="preserve">ВИРІШИЛА:</w:t>
      </w:r>
      <w:r/>
    </w:p>
    <w:p>
      <w:pPr>
        <w:pBdr/>
        <w:tabs>
          <w:tab w:val="left" w:leader="none" w:pos="0"/>
          <w:tab w:val="clear" w:leader="none" w:pos="709"/>
        </w:tabs>
        <w:spacing/>
        <w:ind/>
        <w:rPr/>
      </w:pPr>
      <w:r>
        <w:t xml:space="preserve">1. </w:t>
      </w:r>
      <w:r>
        <w:t xml:space="preserve">Погодити </w:t>
      </w:r>
      <w:r>
        <w:t xml:space="preserve">та затвердити </w:t>
      </w:r>
      <w:r>
        <w:t xml:space="preserve">Фізичній особі-підприємцю Микитенку Юрію Михайловичу</w:t>
      </w:r>
      <w:r>
        <w:t xml:space="preserve"> </w:t>
      </w:r>
      <w:r>
        <w:t xml:space="preserve">технічну документацію</w:t>
      </w:r>
      <w:r>
        <w:t xml:space="preserve"> із землеустрою щодо встановлення меж частини земельної ділянки, на </w:t>
      </w:r>
      <w:r>
        <w:t xml:space="preserve">яку поширюєть</w:t>
      </w:r>
      <w:r>
        <w:t xml:space="preserve">ся право сервітуту площею 0,0</w:t>
      </w:r>
      <w:r>
        <w:t xml:space="preserve">300</w:t>
      </w:r>
      <w:r>
        <w:t xml:space="preserve"> га з кодом 07.11 – Право розміщення тимчасових споруд (малих архітектурних форм) в місті </w:t>
      </w:r>
      <w:r>
        <w:t xml:space="preserve">Мена</w:t>
      </w:r>
      <w:r>
        <w:t xml:space="preserve"> по вулиці Чернігівський шлях</w:t>
      </w:r>
      <w:r>
        <w:t xml:space="preserve">, </w:t>
      </w:r>
      <w:r>
        <w:t xml:space="preserve">Корюківського</w:t>
      </w:r>
      <w:r>
        <w:t xml:space="preserve"> району, Чернігівської області на земельній ділянці площею 0,</w:t>
      </w:r>
      <w:r>
        <w:t xml:space="preserve">1366</w:t>
      </w:r>
      <w:r>
        <w:t xml:space="preserve"> га кадастровий номер 7423010100:01:002:11</w:t>
      </w:r>
      <w:r>
        <w:t xml:space="preserve">77</w:t>
      </w:r>
      <w:r>
        <w:t xml:space="preserve">, яка перебуває на праві постійного користування КП «МЕНАКОМУНПОСЛУГА»</w:t>
      </w:r>
      <w:r>
        <w:t xml:space="preserve">.</w:t>
      </w:r>
      <w:r/>
    </w:p>
    <w:p>
      <w:pPr>
        <w:pBdr/>
        <w:tabs>
          <w:tab w:val="left" w:leader="none" w:pos="0"/>
          <w:tab w:val="clear" w:leader="none" w:pos="709"/>
        </w:tabs>
        <w:spacing/>
        <w:ind/>
        <w:rPr/>
      </w:pPr>
      <w:r>
        <w:t xml:space="preserve">2. </w:t>
      </w:r>
      <w:r>
        <w:rPr>
          <w:szCs w:val="28"/>
          <w:lang w:eastAsia="ru-RU"/>
        </w:rPr>
        <w:t xml:space="preserve">Надати згоду на встановлення земельного сервітуту та укласти договір про встановлення земельного сервітуту</w:t>
      </w:r>
      <w:r>
        <w:rPr>
          <w:szCs w:val="28"/>
          <w:lang w:val="ru-RU" w:eastAsia="ru-RU"/>
        </w:rPr>
        <w:t xml:space="preserve"> </w:t>
      </w:r>
      <w:r>
        <w:rPr>
          <w:szCs w:val="28"/>
          <w:lang w:val="ru-RU" w:eastAsia="ru-RU"/>
        </w:rPr>
        <w:t xml:space="preserve">з </w:t>
      </w:r>
      <w:r>
        <w:t xml:space="preserve">Фізичною особою-підприємцем Микитенком Юрієм Михайловичем</w:t>
      </w:r>
      <w:r>
        <w:t xml:space="preserve"> </w:t>
      </w:r>
      <w:r>
        <w:rPr>
          <w:szCs w:val="28"/>
          <w:lang w:eastAsia="ru-RU"/>
        </w:rPr>
        <w:t xml:space="preserve">на земельну ділянку комунальної власності </w:t>
      </w:r>
      <w:r>
        <w:rPr>
          <w:szCs w:val="28"/>
          <w:lang w:eastAsia="ru-RU"/>
        </w:rPr>
        <w:t xml:space="preserve">площею 0,0</w:t>
      </w:r>
      <w:r>
        <w:rPr>
          <w:szCs w:val="28"/>
          <w:lang w:eastAsia="ru-RU"/>
        </w:rPr>
        <w:t xml:space="preserve">300</w:t>
      </w:r>
      <w:r>
        <w:rPr>
          <w:szCs w:val="28"/>
          <w:lang w:eastAsia="ru-RU"/>
        </w:rPr>
        <w:t xml:space="preserve"> га</w:t>
      </w:r>
      <w:r>
        <w:t xml:space="preserve"> </w:t>
      </w:r>
      <w:r>
        <w:t xml:space="preserve">з кодом 07.11 – Право розміщення тимчасових споруд (малих архітектурних форм)</w:t>
      </w:r>
      <w:r>
        <w:rPr>
          <w:szCs w:val="28"/>
          <w:lang w:eastAsia="ru-RU"/>
        </w:rPr>
        <w:t xml:space="preserve">, в межах земельної ділянки</w:t>
      </w:r>
      <w:r>
        <w:rPr>
          <w:szCs w:val="28"/>
          <w:lang w:eastAsia="ru-RU"/>
        </w:rPr>
        <w:t xml:space="preserve"> площею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0,1366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га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з кадастровим номером </w:t>
      </w:r>
      <w:r>
        <w:rPr>
          <w:szCs w:val="28"/>
          <w:lang w:eastAsia="ru-RU"/>
        </w:rPr>
        <w:t xml:space="preserve">7423010100:01:002:11</w:t>
      </w:r>
      <w:r>
        <w:rPr>
          <w:szCs w:val="28"/>
          <w:lang w:eastAsia="ru-RU"/>
        </w:rPr>
        <w:t xml:space="preserve">77</w:t>
      </w:r>
      <w:r>
        <w:rPr>
          <w:szCs w:val="28"/>
          <w:lang w:eastAsia="ru-RU"/>
        </w:rPr>
        <w:t xml:space="preserve">, яка розташована </w:t>
      </w:r>
      <w:r>
        <w:t xml:space="preserve">в місті </w:t>
      </w:r>
      <w:r>
        <w:t xml:space="preserve">Мена</w:t>
      </w:r>
      <w:r>
        <w:t xml:space="preserve"> по вулиці Чернігівський шлях, </w:t>
      </w:r>
      <w:r>
        <w:t xml:space="preserve">Корюківського</w:t>
      </w:r>
      <w:r>
        <w:t xml:space="preserve"> району, Чернігівської області</w:t>
      </w:r>
      <w:r>
        <w:t xml:space="preserve">,</w:t>
      </w:r>
      <w:r>
        <w:t xml:space="preserve"> на земельній ділянці, яка перебуває на праві постійного користування КП «МЕНАКОМУНПОСЛУГА»</w:t>
      </w:r>
      <w:r>
        <w:t xml:space="preserve">,</w:t>
      </w:r>
      <w:r>
        <w:t xml:space="preserve"> строком </w:t>
      </w:r>
      <w:r>
        <w:rPr>
          <w:color w:val="auto"/>
        </w:rPr>
        <w:t xml:space="preserve">на 20 (двадцять</w:t>
      </w:r>
      <w:r>
        <w:t xml:space="preserve">) років</w:t>
      </w:r>
      <w:r>
        <w:t xml:space="preserve">.</w:t>
      </w:r>
      <w:r/>
    </w:p>
    <w:p>
      <w:pPr>
        <w:widowControl w:val="false"/>
        <w:pBdr/>
        <w:spacing/>
        <w:ind/>
        <w:rPr>
          <w:color w:val="auto"/>
          <w:sz w:val="24"/>
          <w:szCs w:val="24"/>
        </w:rPr>
      </w:pPr>
      <w:r>
        <w:t xml:space="preserve">3.</w:t>
      </w:r>
      <w:r>
        <w:t xml:space="preserve"> </w:t>
      </w:r>
      <w:r>
        <w:t xml:space="preserve">За встановлення сервітуту </w:t>
      </w:r>
      <w:r>
        <w:t xml:space="preserve">Фізичній особі-підприємцю Микитенку Юрію Михайловичу</w:t>
      </w:r>
      <w:r>
        <w:t xml:space="preserve"> сплачує </w:t>
      </w:r>
      <w:r>
        <w:t xml:space="preserve">КП «МЕНАКОМУНПОСЛУГА» </w:t>
      </w:r>
      <w:r>
        <w:t xml:space="preserve">щорічну плату у розмірі </w:t>
      </w:r>
      <w:r>
        <w:rPr>
          <w:color w:val="auto"/>
        </w:rPr>
        <w:t xml:space="preserve">20336</w:t>
      </w:r>
      <w:r>
        <w:rPr>
          <w:color w:val="auto"/>
        </w:rPr>
        <w:t xml:space="preserve"> (</w:t>
      </w:r>
      <w:r>
        <w:rPr>
          <w:color w:val="auto"/>
        </w:rPr>
        <w:t xml:space="preserve">двадцять тисяч триста тридцять шість</w:t>
      </w:r>
      <w:r>
        <w:rPr>
          <w:color w:val="auto"/>
        </w:rPr>
        <w:t xml:space="preserve">) грн.</w:t>
      </w:r>
      <w:r>
        <w:rPr>
          <w:color w:val="auto"/>
        </w:rPr>
        <w:t xml:space="preserve"> </w:t>
      </w:r>
      <w:r>
        <w:rPr>
          <w:color w:val="auto"/>
        </w:rPr>
        <w:t xml:space="preserve">40</w:t>
      </w:r>
      <w:r>
        <w:rPr>
          <w:color w:val="auto"/>
        </w:rPr>
        <w:t xml:space="preserve"> коп.</w:t>
      </w:r>
      <w:r>
        <w:t xml:space="preserve"> Обчислення розміру плати</w:t>
      </w:r>
      <w:r>
        <w:t xml:space="preserve"> </w:t>
      </w:r>
      <w:r>
        <w:t xml:space="preserve">за сервітутне землекористування </w:t>
      </w:r>
      <w:r>
        <w:t xml:space="preserve">здійснюється з урахуванням </w:t>
      </w:r>
      <w:r>
        <w:rPr>
          <w:color w:val="auto"/>
        </w:rPr>
        <w:t xml:space="preserve">коефіцієнту індексації, визначеного</w:t>
      </w:r>
      <w:r>
        <w:rPr>
          <w:color w:val="auto"/>
        </w:rPr>
        <w:t xml:space="preserve"> законодавством на звітний період</w:t>
      </w:r>
      <w:bookmarkStart w:id="0" w:name="_GoBack"/>
      <w:r/>
      <w:bookmarkEnd w:id="0"/>
      <w:r>
        <w:rPr>
          <w:color w:val="auto"/>
        </w:rPr>
        <w:t xml:space="preserve">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Bdr/>
        <w:tabs>
          <w:tab w:val="left" w:leader="none" w:pos="180"/>
          <w:tab w:val="center" w:leader="none" w:pos="4680"/>
        </w:tabs>
        <w:spacing/>
        <w:ind/>
        <w:rPr>
          <w:szCs w:val="28"/>
        </w:rPr>
      </w:pPr>
      <w:r>
        <w:rPr>
          <w:szCs w:val="28"/>
        </w:rPr>
        <w:t xml:space="preserve">4. </w:t>
      </w:r>
      <w:r>
        <w:rPr>
          <w:szCs w:val="28"/>
        </w:rPr>
        <w:t xml:space="preserve">Уповноважити </w:t>
      </w:r>
      <w:r>
        <w:rPr>
          <w:szCs w:val="28"/>
        </w:rPr>
        <w:t xml:space="preserve">директора</w:t>
      </w:r>
      <w:r>
        <w:rPr>
          <w:szCs w:val="28"/>
        </w:rPr>
        <w:t xml:space="preserve"> </w:t>
      </w:r>
      <w:r>
        <w:t xml:space="preserve">КП «МЕНАКОМУНПОСЛУГА» </w:t>
      </w:r>
      <w:r>
        <w:rPr>
          <w:szCs w:val="28"/>
        </w:rPr>
        <w:t xml:space="preserve">підписати </w:t>
      </w:r>
      <w:r>
        <w:rPr>
          <w:szCs w:val="28"/>
        </w:rPr>
        <w:t xml:space="preserve">договір</w:t>
      </w:r>
      <w:r>
        <w:rPr>
          <w:szCs w:val="28"/>
        </w:rPr>
        <w:t xml:space="preserve"> про сервітутне використання земельної ділянки</w:t>
      </w:r>
      <w:r>
        <w:rPr>
          <w:szCs w:val="28"/>
        </w:rPr>
        <w:t xml:space="preserve">. Договір підлягає державній реєстрації в установленому законодавством порядку. 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left" w:leader="none" w:pos="0"/>
          <w:tab w:val="clear" w:leader="none" w:pos="709"/>
        </w:tabs>
        <w:spacing/>
        <w:ind/>
        <w:rPr/>
      </w:pPr>
      <w:r>
        <w:t xml:space="preserve">5</w:t>
      </w:r>
      <w:r>
        <w:t xml:space="preserve">. Рішення набуває чинності з дня доведення до відома </w:t>
      </w:r>
      <w:r>
        <w:t xml:space="preserve">Фізичній особі-підприємцю Микитенку Юрію Михайловичу</w:t>
      </w:r>
      <w:r>
        <w:t xml:space="preserve"> в установленому законом порядком.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both"/>
        <w:rPr/>
      </w:pPr>
      <w:r>
        <w:tab/>
        <w:t xml:space="preserve">6</w:t>
      </w:r>
      <w: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постійну комісію з питань містобудування, будівництва, земельних відносин та охорони природи Менської міської ради.</w:t>
      </w:r>
      <w:r/>
    </w:p>
    <w:p>
      <w:pPr>
        <w:pBdr/>
        <w:spacing/>
        <w:ind/>
        <w:rPr/>
      </w:pPr>
      <w:r/>
      <w:r/>
    </w:p>
    <w:p>
      <w:pPr>
        <w:pBdr/>
        <w:spacing/>
        <w:ind w:firstLine="0"/>
        <w:rPr/>
      </w:pPr>
      <w:r/>
      <w:r/>
    </w:p>
    <w:p>
      <w:pPr>
        <w:pBdr/>
        <w:tabs>
          <w:tab w:val="left" w:leader="none" w:pos="5954"/>
        </w:tabs>
        <w:spacing/>
        <w:ind w:firstLine="0"/>
        <w:rPr/>
      </w:pPr>
      <w:r>
        <w:t xml:space="preserve"> Секретар ради</w:t>
      </w:r>
      <w:r>
        <w:tab/>
      </w:r>
      <w:r>
        <w:tab/>
      </w:r>
      <w:r>
        <w:t xml:space="preserve">Юрій СТАЛЬНИЧЕНКО</w:t>
      </w:r>
      <w:r/>
    </w:p>
    <w:p>
      <w:pPr>
        <w:pStyle w:val="724"/>
        <w:pBdr/>
        <w:spacing/>
        <w:ind/>
        <w:rPr/>
      </w:pPr>
      <w:r/>
      <w:r/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567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pBdr/>
      <w:spacing/>
      <w:ind/>
      <w:jc w:val="center"/>
      <w:rPr/>
    </w:pPr>
    <w:r>
      <w:t xml:space="preserve">2</w:t>
    </w:r>
    <w:r/>
  </w:p>
  <w:p>
    <w:pPr>
      <w:pStyle w:val="76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731"/>
    <w:link w:val="7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06">
    <w:name w:val="Heading 2 Char"/>
    <w:basedOn w:val="731"/>
    <w:link w:val="7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07">
    <w:name w:val="Heading 3 Char"/>
    <w:basedOn w:val="731"/>
    <w:link w:val="7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08">
    <w:name w:val="Heading 4 Char"/>
    <w:basedOn w:val="731"/>
    <w:link w:val="72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09">
    <w:name w:val="Heading 5 Char"/>
    <w:basedOn w:val="731"/>
    <w:link w:val="7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10">
    <w:name w:val="Heading 6 Char"/>
    <w:basedOn w:val="731"/>
    <w:link w:val="72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1">
    <w:name w:val="Heading 7 Char"/>
    <w:basedOn w:val="731"/>
    <w:link w:val="72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12">
    <w:name w:val="Heading 8 Char"/>
    <w:basedOn w:val="731"/>
    <w:link w:val="7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3">
    <w:name w:val="Heading 9 Char"/>
    <w:basedOn w:val="731"/>
    <w:link w:val="7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4">
    <w:name w:val="Title Char"/>
    <w:basedOn w:val="731"/>
    <w:link w:val="75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15">
    <w:name w:val="Subtitle Char"/>
    <w:basedOn w:val="731"/>
    <w:link w:val="75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16">
    <w:name w:val="Quote Char"/>
    <w:basedOn w:val="731"/>
    <w:link w:val="75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17">
    <w:name w:val="Intense Quote Char"/>
    <w:basedOn w:val="731"/>
    <w:link w:val="75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Header Char"/>
    <w:basedOn w:val="731"/>
    <w:link w:val="761"/>
    <w:uiPriority w:val="99"/>
    <w:pPr>
      <w:pBdr/>
      <w:spacing/>
      <w:ind/>
    </w:pPr>
  </w:style>
  <w:style w:type="character" w:styleId="719">
    <w:name w:val="Footnote Text Char"/>
    <w:basedOn w:val="731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720">
    <w:name w:val="Endnote Text Char"/>
    <w:basedOn w:val="731"/>
    <w:link w:val="897"/>
    <w:uiPriority w:val="99"/>
    <w:semiHidden/>
    <w:pPr>
      <w:pBdr/>
      <w:spacing/>
      <w:ind/>
    </w:pPr>
    <w:rPr>
      <w:sz w:val="20"/>
      <w:szCs w:val="20"/>
    </w:rPr>
  </w:style>
  <w:style w:type="paragraph" w:styleId="72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22">
    <w:name w:val="Heading 1"/>
    <w:basedOn w:val="721"/>
    <w:next w:val="721"/>
    <w:link w:val="742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23">
    <w:name w:val="Heading 2"/>
    <w:basedOn w:val="721"/>
    <w:next w:val="721"/>
    <w:link w:val="743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24">
    <w:name w:val="Heading 3"/>
    <w:basedOn w:val="721"/>
    <w:next w:val="721"/>
    <w:link w:val="744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25">
    <w:name w:val="Heading 4"/>
    <w:basedOn w:val="721"/>
    <w:next w:val="721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721"/>
    <w:next w:val="721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721"/>
    <w:next w:val="721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28">
    <w:name w:val="Heading 7"/>
    <w:basedOn w:val="721"/>
    <w:next w:val="721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29">
    <w:name w:val="Heading 8"/>
    <w:basedOn w:val="721"/>
    <w:next w:val="721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30">
    <w:name w:val="Heading 9"/>
    <w:basedOn w:val="721"/>
    <w:next w:val="721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 w:default="1">
    <w:name w:val="Default Paragraph Font"/>
    <w:uiPriority w:val="1"/>
    <w:semiHidden/>
    <w:unhideWhenUsed/>
    <w:pPr>
      <w:pBdr/>
      <w:spacing/>
      <w:ind/>
    </w:pPr>
  </w:style>
  <w:style w:type="table" w:styleId="73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3" w:default="1">
    <w:name w:val="No List"/>
    <w:uiPriority w:val="99"/>
    <w:semiHidden/>
    <w:unhideWhenUsed/>
    <w:pPr>
      <w:pBdr/>
      <w:spacing/>
      <w:ind/>
    </w:pPr>
  </w:style>
  <w:style w:type="character" w:styleId="734">
    <w:name w:val="Intense Emphasis"/>
    <w:basedOn w:val="731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35">
    <w:name w:val="Intense Reference"/>
    <w:basedOn w:val="731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36">
    <w:name w:val="Subtle Emphasis"/>
    <w:basedOn w:val="73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7">
    <w:name w:val="Emphasis"/>
    <w:basedOn w:val="731"/>
    <w:uiPriority w:val="20"/>
    <w:qFormat/>
    <w:pPr>
      <w:pBdr/>
      <w:spacing/>
      <w:ind/>
    </w:pPr>
    <w:rPr>
      <w:i/>
      <w:iCs/>
    </w:rPr>
  </w:style>
  <w:style w:type="character" w:styleId="738">
    <w:name w:val="Strong"/>
    <w:basedOn w:val="731"/>
    <w:uiPriority w:val="22"/>
    <w:qFormat/>
    <w:pPr>
      <w:pBdr/>
      <w:spacing/>
      <w:ind/>
    </w:pPr>
    <w:rPr>
      <w:b/>
      <w:bCs/>
    </w:rPr>
  </w:style>
  <w:style w:type="character" w:styleId="739">
    <w:name w:val="Subtle Reference"/>
    <w:basedOn w:val="73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0">
    <w:name w:val="Book Title"/>
    <w:basedOn w:val="73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1">
    <w:name w:val="FollowedHyperlink"/>
    <w:basedOn w:val="731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42" w:customStyle="1">
    <w:name w:val="Заголовок 1 Знак"/>
    <w:link w:val="722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43" w:customStyle="1">
    <w:name w:val="Заголовок 2 Знак"/>
    <w:link w:val="72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44" w:customStyle="1">
    <w:name w:val="Заголовок 3 Знак"/>
    <w:link w:val="724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45" w:customStyle="1">
    <w:name w:val="Заголовок 4 Знак"/>
    <w:basedOn w:val="731"/>
    <w:link w:val="72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Заголовок 5 Знак"/>
    <w:basedOn w:val="731"/>
    <w:link w:val="72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7" w:customStyle="1">
    <w:name w:val="Заголовок 6 Знак"/>
    <w:basedOn w:val="731"/>
    <w:link w:val="72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8" w:customStyle="1">
    <w:name w:val="Заголовок 7 Знак"/>
    <w:basedOn w:val="731"/>
    <w:link w:val="72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Заголовок 8 Знак"/>
    <w:basedOn w:val="731"/>
    <w:link w:val="72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Заголовок 9 Знак"/>
    <w:basedOn w:val="731"/>
    <w:link w:val="73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1">
    <w:name w:val="List Paragraph"/>
    <w:basedOn w:val="721"/>
    <w:uiPriority w:val="34"/>
    <w:qFormat/>
    <w:pPr>
      <w:pBdr/>
      <w:spacing/>
      <w:ind w:left="720"/>
      <w:contextualSpacing w:val="true"/>
    </w:pPr>
  </w:style>
  <w:style w:type="paragraph" w:styleId="752">
    <w:name w:val="No Spacing"/>
    <w:basedOn w:val="721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753">
    <w:name w:val="Title"/>
    <w:basedOn w:val="721"/>
    <w:next w:val="721"/>
    <w:link w:val="75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4" w:customStyle="1">
    <w:name w:val="Назва Знак"/>
    <w:basedOn w:val="731"/>
    <w:link w:val="753"/>
    <w:uiPriority w:val="10"/>
    <w:pPr>
      <w:pBdr/>
      <w:spacing/>
      <w:ind/>
    </w:pPr>
    <w:rPr>
      <w:sz w:val="48"/>
      <w:szCs w:val="48"/>
    </w:rPr>
  </w:style>
  <w:style w:type="paragraph" w:styleId="755">
    <w:name w:val="Subtitle"/>
    <w:basedOn w:val="721"/>
    <w:next w:val="721"/>
    <w:link w:val="75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6" w:customStyle="1">
    <w:name w:val="Підзаголовок Знак"/>
    <w:basedOn w:val="731"/>
    <w:link w:val="755"/>
    <w:uiPriority w:val="11"/>
    <w:pPr>
      <w:pBdr/>
      <w:spacing/>
      <w:ind/>
    </w:pPr>
    <w:rPr>
      <w:sz w:val="24"/>
      <w:szCs w:val="24"/>
    </w:rPr>
  </w:style>
  <w:style w:type="paragraph" w:styleId="757">
    <w:name w:val="Quote"/>
    <w:basedOn w:val="721"/>
    <w:next w:val="721"/>
    <w:link w:val="758"/>
    <w:uiPriority w:val="29"/>
    <w:qFormat/>
    <w:pPr>
      <w:pBdr/>
      <w:spacing/>
      <w:ind w:right="720" w:left="720"/>
    </w:pPr>
    <w:rPr>
      <w:i/>
    </w:rPr>
  </w:style>
  <w:style w:type="character" w:styleId="758" w:customStyle="1">
    <w:name w:val="Цитата Знак"/>
    <w:link w:val="757"/>
    <w:uiPriority w:val="29"/>
    <w:pPr>
      <w:pBdr/>
      <w:spacing/>
      <w:ind/>
    </w:pPr>
    <w:rPr>
      <w:i/>
    </w:rPr>
  </w:style>
  <w:style w:type="paragraph" w:styleId="759">
    <w:name w:val="Intense Quote"/>
    <w:basedOn w:val="721"/>
    <w:next w:val="721"/>
    <w:link w:val="76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60" w:customStyle="1">
    <w:name w:val="Насичена цитата Знак"/>
    <w:link w:val="759"/>
    <w:uiPriority w:val="30"/>
    <w:pPr>
      <w:pBdr/>
      <w:spacing/>
      <w:ind/>
    </w:pPr>
    <w:rPr>
      <w:i/>
    </w:rPr>
  </w:style>
  <w:style w:type="paragraph" w:styleId="761">
    <w:name w:val="Header"/>
    <w:basedOn w:val="721"/>
    <w:link w:val="76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2" w:customStyle="1">
    <w:name w:val="Верхній колонтитул Знак"/>
    <w:basedOn w:val="731"/>
    <w:link w:val="761"/>
    <w:uiPriority w:val="99"/>
    <w:pPr>
      <w:pBdr/>
      <w:spacing/>
      <w:ind/>
    </w:pPr>
  </w:style>
  <w:style w:type="paragraph" w:styleId="763">
    <w:name w:val="Footer"/>
    <w:basedOn w:val="721"/>
    <w:link w:val="76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4" w:customStyle="1">
    <w:name w:val="Footer Char"/>
    <w:basedOn w:val="731"/>
    <w:uiPriority w:val="99"/>
    <w:pPr>
      <w:pBdr/>
      <w:spacing/>
      <w:ind/>
    </w:pPr>
  </w:style>
  <w:style w:type="paragraph" w:styleId="765">
    <w:name w:val="Caption"/>
    <w:basedOn w:val="721"/>
    <w:next w:val="72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6" w:customStyle="1">
    <w:name w:val="Нижній колонтитул Знак"/>
    <w:link w:val="763"/>
    <w:uiPriority w:val="99"/>
    <w:pPr>
      <w:pBdr/>
      <w:spacing/>
      <w:ind/>
    </w:pPr>
  </w:style>
  <w:style w:type="table" w:styleId="767">
    <w:name w:val="Table Grid"/>
    <w:basedOn w:val="732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Table Grid Light"/>
    <w:basedOn w:val="73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1"/>
    <w:basedOn w:val="73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2"/>
    <w:basedOn w:val="73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1 Light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1 Light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1 Light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2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2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2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2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3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3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3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4 - Accent 1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4 - Accent 2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4 - Accent 3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4 - Accent 4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5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6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5 Dark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5 Dark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5 Dark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5 Dark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6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6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6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7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7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1 Light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1 Light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1 Light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1 Light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2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2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2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2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3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3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3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3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4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4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4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4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5 Dark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5 Dark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5 Dark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6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6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6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6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7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7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7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7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ned - Accent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ned - Accent 1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ned - Accent 2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ned - Accent 3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 4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5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6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&amp; Lined - Accent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&amp; Lined - Accent 1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&amp; Lined - Accent 2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 3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 4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5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6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4">
    <w:name w:val="footnote text"/>
    <w:basedOn w:val="721"/>
    <w:link w:val="895"/>
    <w:uiPriority w:val="99"/>
    <w:semiHidden/>
    <w:unhideWhenUsed/>
    <w:pPr>
      <w:pBdr/>
      <w:spacing w:after="40"/>
      <w:ind/>
    </w:pPr>
    <w:rPr>
      <w:sz w:val="18"/>
    </w:rPr>
  </w:style>
  <w:style w:type="character" w:styleId="895" w:customStyle="1">
    <w:name w:val="Текст виноски Знак"/>
    <w:link w:val="894"/>
    <w:uiPriority w:val="99"/>
    <w:pPr>
      <w:pBdr/>
      <w:spacing/>
      <w:ind/>
    </w:pPr>
    <w:rPr>
      <w:sz w:val="18"/>
    </w:rPr>
  </w:style>
  <w:style w:type="character" w:styleId="896">
    <w:name w:val="footnote reference"/>
    <w:basedOn w:val="731"/>
    <w:uiPriority w:val="99"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721"/>
    <w:link w:val="898"/>
    <w:uiPriority w:val="99"/>
    <w:semiHidden/>
    <w:unhideWhenUsed/>
    <w:pPr>
      <w:pBdr/>
      <w:spacing/>
      <w:ind/>
    </w:pPr>
    <w:rPr>
      <w:sz w:val="20"/>
    </w:rPr>
  </w:style>
  <w:style w:type="character" w:styleId="898" w:customStyle="1">
    <w:name w:val="Текст кінцевої виноски Знак"/>
    <w:link w:val="897"/>
    <w:uiPriority w:val="99"/>
    <w:pPr>
      <w:pBdr/>
      <w:spacing/>
      <w:ind/>
    </w:pPr>
    <w:rPr>
      <w:sz w:val="20"/>
    </w:rPr>
  </w:style>
  <w:style w:type="character" w:styleId="899">
    <w:name w:val="endnote reference"/>
    <w:basedOn w:val="731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721"/>
    <w:next w:val="721"/>
    <w:uiPriority w:val="39"/>
    <w:unhideWhenUsed/>
    <w:pPr>
      <w:pBdr/>
      <w:spacing w:after="57"/>
      <w:ind w:firstLine="0"/>
    </w:pPr>
  </w:style>
  <w:style w:type="paragraph" w:styleId="901">
    <w:name w:val="toc 2"/>
    <w:basedOn w:val="721"/>
    <w:next w:val="721"/>
    <w:uiPriority w:val="39"/>
    <w:unhideWhenUsed/>
    <w:pPr>
      <w:pBdr/>
      <w:spacing w:after="57"/>
      <w:ind w:firstLine="0" w:left="283"/>
    </w:pPr>
  </w:style>
  <w:style w:type="paragraph" w:styleId="902">
    <w:name w:val="toc 3"/>
    <w:basedOn w:val="721"/>
    <w:next w:val="721"/>
    <w:uiPriority w:val="39"/>
    <w:unhideWhenUsed/>
    <w:pPr>
      <w:pBdr/>
      <w:spacing w:after="57"/>
      <w:ind w:firstLine="0" w:left="567"/>
    </w:pPr>
  </w:style>
  <w:style w:type="paragraph" w:styleId="903">
    <w:name w:val="toc 4"/>
    <w:basedOn w:val="721"/>
    <w:next w:val="721"/>
    <w:uiPriority w:val="39"/>
    <w:unhideWhenUsed/>
    <w:pPr>
      <w:pBdr/>
      <w:spacing w:after="57"/>
      <w:ind w:firstLine="0" w:left="850"/>
    </w:pPr>
  </w:style>
  <w:style w:type="paragraph" w:styleId="904">
    <w:name w:val="toc 5"/>
    <w:basedOn w:val="721"/>
    <w:next w:val="721"/>
    <w:uiPriority w:val="39"/>
    <w:unhideWhenUsed/>
    <w:pPr>
      <w:pBdr/>
      <w:spacing w:after="57"/>
      <w:ind w:firstLine="0" w:left="1134"/>
    </w:pPr>
  </w:style>
  <w:style w:type="paragraph" w:styleId="905">
    <w:name w:val="toc 6"/>
    <w:basedOn w:val="721"/>
    <w:next w:val="721"/>
    <w:uiPriority w:val="39"/>
    <w:unhideWhenUsed/>
    <w:pPr>
      <w:pBdr/>
      <w:spacing w:after="57"/>
      <w:ind w:firstLine="0" w:left="1417"/>
    </w:pPr>
  </w:style>
  <w:style w:type="paragraph" w:styleId="906">
    <w:name w:val="toc 7"/>
    <w:basedOn w:val="721"/>
    <w:next w:val="721"/>
    <w:uiPriority w:val="39"/>
    <w:unhideWhenUsed/>
    <w:pPr>
      <w:pBdr/>
      <w:spacing w:after="57"/>
      <w:ind w:firstLine="0" w:left="1701"/>
    </w:pPr>
  </w:style>
  <w:style w:type="paragraph" w:styleId="907">
    <w:name w:val="toc 8"/>
    <w:basedOn w:val="721"/>
    <w:next w:val="721"/>
    <w:uiPriority w:val="39"/>
    <w:unhideWhenUsed/>
    <w:pPr>
      <w:pBdr/>
      <w:spacing w:after="57"/>
      <w:ind w:firstLine="0" w:left="1984"/>
    </w:pPr>
  </w:style>
  <w:style w:type="paragraph" w:styleId="908">
    <w:name w:val="toc 9"/>
    <w:basedOn w:val="721"/>
    <w:next w:val="721"/>
    <w:uiPriority w:val="39"/>
    <w:unhideWhenUsed/>
    <w:pPr>
      <w:pBdr/>
      <w:spacing w:after="57"/>
      <w:ind w:firstLine="0" w:left="2268"/>
    </w:pPr>
  </w:style>
  <w:style w:type="paragraph" w:styleId="909">
    <w:name w:val="TOC Heading"/>
    <w:uiPriority w:val="39"/>
    <w:unhideWhenUsed/>
    <w:pPr>
      <w:pBdr/>
      <w:spacing/>
      <w:ind/>
    </w:pPr>
  </w:style>
  <w:style w:type="paragraph" w:styleId="910">
    <w:name w:val="table of figures"/>
    <w:basedOn w:val="721"/>
    <w:next w:val="721"/>
    <w:uiPriority w:val="9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Марцева  Тетяна  Іванівна</cp:lastModifiedBy>
  <cp:revision>31</cp:revision>
  <dcterms:created xsi:type="dcterms:W3CDTF">2025-09-18T11:39:00Z</dcterms:created>
  <dcterms:modified xsi:type="dcterms:W3CDTF">2026-07-17T11:55:00Z</dcterms:modified>
</cp:coreProperties>
</file>