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п’ята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ПРОЕКТ  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липня 2026 року</w:t>
        <w:tab/>
        <w:t xml:space="preserve">м. Мена</w:t>
        <w:tab/>
        <w:t xml:space="preserve">№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0" w:before="0"/>
        <w:ind w:right="-1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дозволів на виготовлення проєктів із землеустрою щодо відведення земельних ділянок на умовах оренди для городництва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0" w:before="0"/>
        <w:ind w:right="-1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про надання дозволів на виготовлення проєктів із землеустрою щодо відведення земельних ділянок для городництва, із земель сільськогосподарського призначення комунальної власності, гр. Іллєнко М.А. орієнтовною площею 0,60 га.,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гр. Ілляшика</w:t>
      </w:r>
      <w:r>
        <w:rPr>
          <w:rFonts w:ascii="Calibri" w:hAnsi="Calibri" w:eastAsia="Calibri" w:cs="Calibri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І.М.,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орієнтовною площею 0,60 га, гр. Скоробагатько Л.В., орієнтовною площею 0,60 га, за межами с. Майське, з подальшою передачею у користування на умовах оренди, керуючись ст. 12, 36, 79-1, 93, 116, 12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2, 123, 124, 134 Земельного Кодексу України, ст. 25, 50 Закону України «Про землеустрій», ст. 6 Закону України «Про оренду землі» та п. 34 ч. 1 ст.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0" w:left="142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1. Надати дозвіл на виготовлення проєктів із землеустрою щодо відведення земельних ділянок</w:t>
      </w:r>
      <w:r>
        <w:rPr>
          <w:rFonts w:ascii="Calibri" w:hAnsi="Calibri" w:eastAsia="Calibri" w:cs="Calibri"/>
          <w:color w:val="000000"/>
          <w:sz w:val="22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подальшою передачею у користування на умовах оренди для городництва (код згідно із КВЦПЗ – 01.07);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гр. Іллєнко Марині Анатоліївні орієнтовною площею 0,60 га за межами с. Майське, згідно доданих графічних матеріалів з визначеним місцем розташування земельної ділянки (додаток 1);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гр. Ілляшику Ігорю Миколайовичу орієнтовною площею 0,60 га за межами с. Майське, згідно доданих графічних матеріалів з визначеним місцем розташування земельної ділянки (додаток 2);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гр. Скоробагатько Лілії Вікторівні орієнтовною площею 0,60 га за межами с. Майське, згідно доданих графічних матеріалів з визначеним місцем розташування земельної ділянки (додаток 3);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2. Гр. Іллєнко М.А., гр. Ілляшик І.М., гр. Скоробагатько Л.В., виготовлені проєкти землеустрою щодо відведення земельної ділянки погодити згідно норм чинного законодавства України.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набуває чинності з дня доведення до відома гр. Іллєнко М.А., гр. Ілляшик І.М., гр. Скоробагатько Л.В., в установленому законом порядком.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постійну комісію з питань містобудування, будівництва, земельних відносин та охорони природи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27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Білогуб Ігор Олексійович</cp:lastModifiedBy>
  <cp:revision>7</cp:revision>
  <dcterms:created xsi:type="dcterms:W3CDTF">2019-03-29T20:09:00Z</dcterms:created>
  <dcterms:modified xsi:type="dcterms:W3CDTF">2026-07-21T06:58:06Z</dcterms:modified>
</cp:coreProperties>
</file>