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9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21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21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21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21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14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194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21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21"/>
        <w:pBdr/>
        <w:spacing/>
        <w:ind w:right="5386" w:firstLine="0"/>
        <w:rPr>
          <w:b/>
          <w:color w:val="000000"/>
        </w:rPr>
      </w:pPr>
      <w:r>
        <w:rPr>
          <w:b/>
          <w:color w:val="000000"/>
        </w:rPr>
        <w:t xml:space="preserve">Про </w:t>
      </w:r>
      <w:r>
        <w:rPr>
          <w:b/>
          <w:color w:val="000000"/>
        </w:rPr>
        <w:t xml:space="preserve">заходи щодо складання Прогнозу </w:t>
      </w:r>
      <w:r>
        <w:rPr>
          <w:b/>
          <w:color w:val="000000"/>
        </w:rPr>
        <w:t xml:space="preserve"> бюджету Менської міської територіальної громади на 202</w:t>
      </w:r>
      <w:r>
        <w:rPr>
          <w:b/>
          <w:color w:val="000000"/>
        </w:rPr>
        <w:t xml:space="preserve">7-2029</w:t>
      </w:r>
      <w:r>
        <w:rPr>
          <w:b/>
          <w:color w:val="000000"/>
        </w:rPr>
        <w:t xml:space="preserve"> р</w:t>
      </w:r>
      <w:r>
        <w:rPr>
          <w:b/>
          <w:color w:val="000000"/>
        </w:rPr>
        <w:t xml:space="preserve">оки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21"/>
        <w:pBdr/>
        <w:spacing/>
        <w:ind/>
        <w:rPr/>
      </w:pPr>
      <w:r/>
      <w:r/>
    </w:p>
    <w:p>
      <w:pPr>
        <w:pStyle w:val="721"/>
        <w:pBdr/>
        <w:spacing/>
        <w:ind/>
        <w:rPr/>
      </w:pPr>
      <w:r>
        <w:t xml:space="preserve">Відповідно до </w:t>
      </w:r>
      <w:r>
        <w:t xml:space="preserve">статтей 75, 75</w:t>
      </w:r>
      <w:r>
        <w:rPr>
          <w:vertAlign w:val="superscript"/>
        </w:rPr>
        <w:t xml:space="preserve">1</w:t>
      </w:r>
      <w:r>
        <w:t xml:space="preserve"> Бюджетного кодексу України, ст. 42, 50 Закону України «Про місцеве само</w:t>
      </w:r>
      <w:r>
        <w:t xml:space="preserve">врядування в Україні», </w:t>
      </w:r>
      <w:r>
        <w:t xml:space="preserve">Методичних рекомендацій щодо підготовки та затвердження Бюджетного регламенту проходження бюджетного процесу на місцевому рівні з метою забезпечення формування прогнозу бюджету Менської міської тер</w:t>
      </w:r>
      <w:r>
        <w:t xml:space="preserve">иторіальної громади на середньостроковий період:</w:t>
      </w:r>
      <w:r/>
    </w:p>
    <w:p>
      <w:pPr>
        <w:pStyle w:val="721"/>
        <w:numPr>
          <w:ilvl w:val="0"/>
          <w:numId w:val="22"/>
        </w:numPr>
        <w:pBdr/>
        <w:tabs>
          <w:tab w:val="left" w:leader="none" w:pos="567"/>
          <w:tab w:val="clear" w:leader="none" w:pos="1134"/>
        </w:tabs>
        <w:spacing/>
        <w:ind w:firstLine="567" w:left="0"/>
        <w:rPr>
          <w:szCs w:val="28"/>
        </w:rPr>
      </w:pPr>
      <w:r>
        <w:t xml:space="preserve">Затвердити План заходів щодо складання в 2026 році Прогнозу бюджету Менської міської територіальної громади на середньостроковий період</w:t>
      </w:r>
      <w:r>
        <w:rPr>
          <w:color w:val="000000"/>
          <w:szCs w:val="28"/>
        </w:rPr>
        <w:t xml:space="preserve">, що додається.</w:t>
      </w:r>
      <w:r>
        <w:rPr>
          <w:szCs w:val="28"/>
        </w:rPr>
      </w:r>
      <w:r>
        <w:rPr>
          <w:szCs w:val="28"/>
        </w:rPr>
      </w:r>
    </w:p>
    <w:p>
      <w:pPr>
        <w:pStyle w:val="721"/>
        <w:numPr>
          <w:ilvl w:val="0"/>
          <w:numId w:val="22"/>
        </w:numPr>
        <w:pBdr/>
        <w:tabs>
          <w:tab w:val="left" w:leader="none" w:pos="567"/>
          <w:tab w:val="clear" w:leader="none" w:pos="1134"/>
        </w:tabs>
        <w:spacing/>
        <w:ind w:firstLine="567" w:left="0"/>
        <w:rPr>
          <w:szCs w:val="28"/>
        </w:rPr>
      </w:pPr>
      <w:r>
        <w:rPr>
          <w:color w:val="000000"/>
          <w:szCs w:val="28"/>
        </w:rPr>
        <w:t xml:space="preserve">Відповідальним виконавцям забезпечити неухильне вжиття заходів, передбачених вищезазначеним Планом.</w:t>
      </w:r>
      <w:r>
        <w:rPr>
          <w:szCs w:val="28"/>
        </w:rPr>
      </w:r>
      <w:r>
        <w:rPr>
          <w:szCs w:val="28"/>
        </w:rPr>
      </w:r>
    </w:p>
    <w:p>
      <w:pPr>
        <w:pStyle w:val="721"/>
        <w:numPr>
          <w:ilvl w:val="0"/>
          <w:numId w:val="22"/>
        </w:numPr>
        <w:pBdr/>
        <w:tabs>
          <w:tab w:val="left" w:leader="none" w:pos="567"/>
          <w:tab w:val="clear" w:leader="none" w:pos="1134"/>
        </w:tabs>
        <w:spacing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</w:t>
      </w:r>
      <w:r>
        <w:rPr>
          <w:color w:val="000000"/>
          <w:szCs w:val="28"/>
        </w:rPr>
        <w:t xml:space="preserve">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/>
        <w:ind w:right="450" w:firstLine="0" w:left="5102"/>
        <w:jc w:val="left"/>
        <w:rPr>
          <w:color w:val="333333"/>
          <w:szCs w:val="28"/>
          <w:lang w:eastAsia="uk-UA"/>
        </w:rPr>
      </w:pPr>
      <w:r>
        <w:rPr>
          <w:color w:val="333333"/>
          <w:szCs w:val="28"/>
          <w:lang w:eastAsia="uk-UA"/>
        </w:rPr>
        <w:t xml:space="preserve">ЗАТВЕРДЖЕНО</w:t>
      </w:r>
      <w:r>
        <w:rPr>
          <w:color w:val="333333"/>
          <w:szCs w:val="28"/>
          <w:lang w:eastAsia="uk-UA"/>
        </w:rPr>
      </w:r>
      <w:r>
        <w:rPr>
          <w:color w:val="333333"/>
          <w:szCs w:val="28"/>
          <w:lang w:eastAsia="uk-UA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/>
        <w:ind w:right="450" w:firstLine="0" w:left="5102"/>
        <w:jc w:val="left"/>
        <w:rPr>
          <w:color w:val="333333"/>
          <w:szCs w:val="28"/>
          <w:lang w:eastAsia="uk-UA"/>
        </w:rPr>
      </w:pPr>
      <w:r>
        <w:rPr>
          <w:color w:val="333333"/>
          <w:szCs w:val="28"/>
          <w:lang w:eastAsia="uk-UA"/>
        </w:rPr>
        <w:t xml:space="preserve">розпорядження міського голови </w:t>
      </w:r>
      <w:r>
        <w:rPr>
          <w:color w:val="333333"/>
          <w:szCs w:val="28"/>
          <w:lang w:eastAsia="uk-UA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/>
        <w:ind w:right="450" w:firstLine="0" w:left="5102"/>
        <w:jc w:val="left"/>
        <w:rPr>
          <w:color w:val="333333"/>
          <w:szCs w:val="28"/>
          <w:lang w:eastAsia="uk-UA"/>
        </w:rPr>
      </w:pPr>
      <w:r>
        <w:rPr>
          <w:color w:val="333333"/>
          <w:szCs w:val="28"/>
          <w:lang w:eastAsia="uk-UA"/>
        </w:rPr>
        <w:t xml:space="preserve">14 липня 2026 року № 194</w:t>
      </w:r>
      <w:r>
        <w:rPr>
          <w:color w:val="333333"/>
          <w:szCs w:val="28"/>
          <w:lang w:eastAsia="uk-UA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 w:after="150" w:before="150"/>
        <w:ind w:right="450" w:firstLine="0"/>
        <w:rPr>
          <w:b/>
          <w:bCs/>
          <w:color w:val="333333"/>
          <w:szCs w:val="28"/>
          <w:lang w:eastAsia="uk-UA"/>
        </w:rPr>
      </w:pPr>
      <w:r>
        <w:rPr>
          <w:b/>
          <w:bCs/>
          <w:color w:val="333333"/>
          <w:szCs w:val="28"/>
          <w:lang w:eastAsia="uk-UA"/>
        </w:rPr>
      </w:r>
      <w:r>
        <w:rPr>
          <w:b/>
          <w:bCs/>
          <w:color w:val="333333"/>
          <w:szCs w:val="28"/>
          <w:lang w:eastAsia="uk-UA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 w:after="150" w:before="150"/>
        <w:ind w:right="450" w:firstLine="0" w:left="450"/>
        <w:jc w:val="center"/>
        <w:rPr>
          <w:b/>
          <w:bCs/>
          <w:color w:val="333333"/>
          <w:szCs w:val="28"/>
          <w:lang w:eastAsia="uk-UA"/>
        </w:rPr>
      </w:pPr>
      <w:r>
        <w:rPr>
          <w:b/>
          <w:bCs/>
          <w:color w:val="333333"/>
          <w:szCs w:val="28"/>
          <w:lang w:eastAsia="uk-UA"/>
        </w:rPr>
        <w:t xml:space="preserve">ПЛАН ЗАХОДІВ</w:t>
      </w:r>
      <w:r>
        <w:rPr>
          <w:color w:val="333333"/>
          <w:sz w:val="24"/>
          <w:szCs w:val="24"/>
          <w:lang w:eastAsia="uk-UA"/>
        </w:rPr>
        <w:br w:type="textWrapping" w:clear="all"/>
      </w:r>
      <w:r>
        <w:rPr>
          <w:b/>
          <w:bCs/>
          <w:color w:val="333333"/>
          <w:szCs w:val="28"/>
          <w:lang w:eastAsia="uk-UA"/>
        </w:rPr>
        <w:t xml:space="preserve">щодо складання </w:t>
      </w:r>
      <w:r>
        <w:rPr>
          <w:b/>
          <w:bCs/>
          <w:color w:val="333333"/>
          <w:szCs w:val="28"/>
          <w:lang w:eastAsia="uk-UA"/>
        </w:rPr>
        <w:t xml:space="preserve">П</w:t>
      </w:r>
      <w:r>
        <w:rPr>
          <w:b/>
          <w:bCs/>
          <w:color w:val="333333"/>
          <w:szCs w:val="28"/>
          <w:lang w:eastAsia="uk-UA"/>
        </w:rPr>
        <w:t xml:space="preserve">рогнозу місцевого бюджету Менської міської територіальної громади на 2027-2029 роки</w:t>
      </w:r>
      <w:r>
        <w:rPr>
          <w:b/>
          <w:bCs/>
          <w:color w:val="333333"/>
          <w:szCs w:val="28"/>
          <w:lang w:eastAsia="uk-UA"/>
        </w:rPr>
      </w:r>
    </w:p>
    <w:p>
      <w:pPr>
        <w:pStyle w:val="72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tabs>
          <w:tab w:val="clear" w:leader="none" w:pos="1134"/>
        </w:tabs>
        <w:spacing w:after="150" w:before="150"/>
        <w:ind w:right="450" w:firstLine="0" w:left="450"/>
        <w:jc w:val="center"/>
        <w:rPr>
          <w:color w:val="333333"/>
          <w:sz w:val="24"/>
          <w:szCs w:val="24"/>
          <w:lang w:eastAsia="uk-UA"/>
        </w:rPr>
      </w:pPr>
      <w:r>
        <w:rPr>
          <w:b/>
          <w:bCs/>
          <w:color w:val="333333"/>
          <w:szCs w:val="28"/>
          <w:lang w:eastAsia="uk-UA"/>
        </w:rPr>
        <w:t xml:space="preserve">(код бюджету 2551700000)</w:t>
      </w:r>
      <w:r>
        <w:rPr>
          <w:color w:val="333333"/>
          <w:sz w:val="24"/>
          <w:szCs w:val="24"/>
          <w:lang w:eastAsia="uk-UA"/>
        </w:rPr>
      </w:r>
      <w:r>
        <w:rPr>
          <w:color w:val="333333"/>
          <w:sz w:val="24"/>
          <w:szCs w:val="24"/>
          <w:lang w:eastAsia="uk-UA"/>
        </w:rPr>
      </w:r>
    </w:p>
    <w:tbl>
      <w:tblPr>
        <w:tblW w:w="5000" w:type="pct"/>
        <w:tblInd w:w="12" w:type="dxa"/>
        <w:tblBorders/>
        <w:tblLayout w:type="autofit"/>
        <w:tblCellMar>
          <w:left w:w="12" w:type="dxa"/>
          <w:top w:w="12" w:type="dxa"/>
          <w:right w:w="12" w:type="dxa"/>
          <w:bottom w:w="12" w:type="dxa"/>
        </w:tblCellMar>
        <w:tblLook w:val="04A0" w:firstRow="1" w:lastRow="0" w:firstColumn="1" w:lastColumn="0" w:noHBand="0" w:noVBand="1"/>
      </w:tblPr>
      <w:tblGrid>
        <w:gridCol w:w="580"/>
        <w:gridCol w:w="5217"/>
        <w:gridCol w:w="1739"/>
        <w:gridCol w:w="2126"/>
      </w:tblGrid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bCs/>
                <w:sz w:val="24"/>
                <w:szCs w:val="24"/>
                <w:lang w:eastAsia="uk-UA"/>
              </w:rPr>
              <w:t xml:space="preserve">№ з/п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bCs/>
                <w:sz w:val="24"/>
                <w:szCs w:val="24"/>
                <w:lang w:eastAsia="uk-UA"/>
              </w:rPr>
              <w:t xml:space="preserve">Зміст заходів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bCs/>
                <w:sz w:val="24"/>
                <w:szCs w:val="24"/>
                <w:lang w:eastAsia="uk-UA"/>
              </w:rPr>
              <w:t xml:space="preserve">Термін виконання*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bCs/>
                <w:sz w:val="24"/>
                <w:szCs w:val="24"/>
                <w:lang w:eastAsia="uk-UA"/>
              </w:rPr>
              <w:t xml:space="preserve">Відповідальні за виконання**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Здійснення аналізу виконання місцевого бюджету у попередніх та поточному бюджетних періодах, виявлення тенденцій у виконанні дохідної та видаткової частин бюдже</w:t>
            </w:r>
            <w:r>
              <w:rPr>
                <w:sz w:val="24"/>
                <w:szCs w:val="24"/>
                <w:lang w:eastAsia="uk-UA"/>
              </w:rPr>
              <w:t xml:space="preserve">ту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Червень-липень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2.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Доведення до головних розпорядників бюджетних коштів інструктивного листа щодо основних організаційних засад процесу підготовки пропозицій до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бюджету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3.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Надання місцевому фінансовому органу основних прогнозних показників економічного і соціального розвитку території на середньостроковий період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Відділ міжнародного співробітництва та економічного розвитку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4.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Надання місцевому фі</w:t>
            </w:r>
            <w:r>
              <w:rPr>
                <w:sz w:val="24"/>
                <w:szCs w:val="24"/>
                <w:lang w:eastAsia="uk-UA"/>
              </w:rPr>
              <w:t xml:space="preserve">нансовому органу інформації щодо чисельності населення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Відділ міжнародного співробітництва та економічного розвитку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5.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Пр</w:t>
            </w:r>
            <w:r>
              <w:rPr>
                <w:sz w:val="24"/>
                <w:szCs w:val="24"/>
                <w:lang w:eastAsia="uk-UA"/>
              </w:rPr>
              <w:t xml:space="preserve">огнозування обсягів доходів місцевого бюджету, визначення обсягів фінансування місцевого бюджету, повернення кредитів до місцевого бюджету та орієнтовних граничних показників видатків місцевого бюджету та надання кредитів з місцевого бюджету на середньостр</w:t>
            </w:r>
            <w:r>
              <w:rPr>
                <w:sz w:val="24"/>
                <w:szCs w:val="24"/>
                <w:lang w:eastAsia="uk-UA"/>
              </w:rPr>
              <w:t xml:space="preserve">оковий період на підставі прогнозу економічного і соціального розвитку України та території, аналізу виконання місцевого бюджет</w:t>
            </w:r>
            <w:r>
              <w:rPr>
                <w:sz w:val="24"/>
                <w:szCs w:val="24"/>
                <w:lang w:eastAsia="uk-UA"/>
              </w:rPr>
              <w:t xml:space="preserve">у в попередніх та поточному бюджетних періодах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6.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Розроблення та доведення до головних розпорядників бюджетних коштів інструкцій з підготовки пропозицій до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бюджету та орієнтовних граничних показників видатків і надання кредитів з місцевого бюдж</w:t>
            </w:r>
            <w:r>
              <w:rPr>
                <w:sz w:val="24"/>
                <w:szCs w:val="24"/>
                <w:lang w:eastAsia="uk-UA"/>
              </w:rPr>
              <w:t xml:space="preserve">ету на середньостроковий період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Червень-липень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7. 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Доведення до </w:t>
            </w:r>
            <w:r>
              <w:rPr>
                <w:sz w:val="24"/>
                <w:szCs w:val="24"/>
                <w:lang w:eastAsia="uk-UA"/>
              </w:rPr>
              <w:t xml:space="preserve">Відділ</w:t>
            </w:r>
            <w:r>
              <w:rPr>
                <w:sz w:val="24"/>
                <w:szCs w:val="24"/>
                <w:lang w:eastAsia="uk-UA"/>
              </w:rPr>
              <w:t xml:space="preserve">у</w:t>
            </w:r>
            <w:r>
              <w:rPr>
                <w:sz w:val="24"/>
                <w:szCs w:val="24"/>
                <w:lang w:eastAsia="uk-UA"/>
              </w:rPr>
              <w:t xml:space="preserve"> міжнародного співробітництва та економічного розвитку</w:t>
            </w:r>
            <w:r>
              <w:rPr>
                <w:sz w:val="24"/>
                <w:szCs w:val="24"/>
                <w:lang w:eastAsia="uk-UA"/>
              </w:rPr>
              <w:t xml:space="preserve"> орієнтовного граничного сукупного обсягу публічних інвестицій на середньостро</w:t>
            </w:r>
            <w:r>
              <w:rPr>
                <w:sz w:val="24"/>
                <w:szCs w:val="24"/>
                <w:lang w:eastAsia="uk-UA"/>
              </w:rPr>
              <w:t xml:space="preserve">ковий період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8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Надання місцевому фінансовому органу пропозицій до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місцевого бюджету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 20 липня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Головні розпорядники бюджетних коштів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9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Здійснення аналізу поданих головними розпорядниками бюджетних коштів пропозицій до прогнозу місцевого бюджету на відповідність доведеним орієнтовним граничним показникам видатків місцевого бюджету та надання кредитів з місцевого бюджет</w:t>
            </w:r>
            <w:r>
              <w:rPr>
                <w:sz w:val="24"/>
                <w:szCs w:val="24"/>
                <w:lang w:eastAsia="uk-UA"/>
              </w:rPr>
              <w:t xml:space="preserve">у і вимогам доведених інструкцій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10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Доведення до </w:t>
            </w:r>
            <w:r>
              <w:rPr>
                <w:sz w:val="24"/>
                <w:szCs w:val="24"/>
                <w:lang w:eastAsia="uk-UA"/>
              </w:rPr>
              <w:t xml:space="preserve">Фінансового управління середньострокового плану</w:t>
            </w:r>
            <w:r>
              <w:rPr>
                <w:sz w:val="24"/>
                <w:szCs w:val="24"/>
                <w:lang w:eastAsia="uk-UA"/>
              </w:rPr>
              <w:t xml:space="preserve"> пріорітетних</w:t>
            </w:r>
            <w:r>
              <w:rPr>
                <w:sz w:val="24"/>
                <w:szCs w:val="24"/>
                <w:lang w:eastAsia="uk-UA"/>
              </w:rPr>
              <w:t xml:space="preserve"> публічних інвестицій</w:t>
            </w:r>
            <w:r>
              <w:rPr>
                <w:sz w:val="24"/>
                <w:szCs w:val="24"/>
                <w:lang w:eastAsia="uk-UA"/>
              </w:rPr>
              <w:t xml:space="preserve">,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 w:val="24"/>
                <w:szCs w:val="24"/>
                <w:lang w:eastAsia="uk-UA"/>
              </w:rPr>
              <w:t xml:space="preserve">схваленого місцевою інвестиційною радою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Липень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Відділ міжнародного співробітництва та економічного розвитку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11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Проведення погоджувальних нарад з головними розпорядниками бюджетних коштів щодо узгодження показників прогнозу місцевого бюджету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 5 серпня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ради, головні розпорядники бюджетни</w:t>
            </w:r>
            <w:r>
              <w:rPr>
                <w:sz w:val="24"/>
                <w:szCs w:val="24"/>
                <w:lang w:eastAsia="uk-UA"/>
              </w:rPr>
              <w:t xml:space="preserve">х коштів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2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Доопрацювання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місцевого бюджету за результатами проведених погоджувальних нарад та інформації, отриманої від </w:t>
            </w:r>
            <w:r>
              <w:rPr>
                <w:sz w:val="24"/>
                <w:szCs w:val="24"/>
                <w:lang w:eastAsia="uk-UA"/>
              </w:rPr>
              <w:t xml:space="preserve">головних розпорядників</w:t>
            </w: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 12 серпня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3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Подання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місцевого бюджету на розгляд виконавчого комітету Менської міської ради (відповідно до статті 75</w:t>
            </w:r>
            <w:r>
              <w:rPr>
                <w:sz w:val="24"/>
                <w:szCs w:val="24"/>
                <w:vertAlign w:val="superscript"/>
                <w:lang w:eastAsia="uk-UA"/>
              </w:rPr>
              <w:t xml:space="preserve">1 </w:t>
            </w:r>
            <w:r>
              <w:rPr>
                <w:sz w:val="24"/>
                <w:szCs w:val="24"/>
                <w:lang w:eastAsia="uk-UA"/>
              </w:rPr>
              <w:t xml:space="preserve">Бюджетного кодексу України)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 15 серпня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4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Розгляд та схвалення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місцевого бюджету (відповідно до статті 75</w:t>
            </w:r>
            <w:r>
              <w:rPr>
                <w:sz w:val="24"/>
                <w:szCs w:val="24"/>
                <w:vertAlign w:val="superscript"/>
                <w:lang w:eastAsia="uk-UA"/>
              </w:rPr>
              <w:t xml:space="preserve">1 </w:t>
            </w:r>
            <w:r>
              <w:rPr>
                <w:sz w:val="24"/>
                <w:szCs w:val="24"/>
                <w:lang w:eastAsia="uk-UA"/>
              </w:rPr>
              <w:t xml:space="preserve">Бюджетно</w:t>
            </w:r>
            <w:r>
              <w:rPr>
                <w:sz w:val="24"/>
                <w:szCs w:val="24"/>
                <w:lang w:eastAsia="uk-UA"/>
              </w:rPr>
              <w:t xml:space="preserve">го кодексу України)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До 1 вересня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Виконавчий комітет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5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Подання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місцевого бюджету разом із фінансово-економічним обґрунтуванням до Менської міської ради для розгляду в порядку, визначеному радою (відповідно до статті 75</w:t>
            </w:r>
            <w:r>
              <w:rPr>
                <w:sz w:val="24"/>
                <w:szCs w:val="24"/>
                <w:vertAlign w:val="superscript"/>
                <w:lang w:eastAsia="uk-UA"/>
              </w:rPr>
              <w:t xml:space="preserve">1 </w:t>
            </w:r>
            <w:r>
              <w:rPr>
                <w:sz w:val="24"/>
                <w:szCs w:val="24"/>
                <w:lang w:eastAsia="uk-UA"/>
              </w:rPr>
              <w:t xml:space="preserve">Бюджетного кодексу України)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У п’ятиденний термін після схвалення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6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Супровід розгляду питання щодо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рогнозу бюджету постійними комісіями місцевої ради та на пленарному засіданні Менської міської ради в порядку, виз</w:t>
            </w:r>
            <w:r>
              <w:rPr>
                <w:sz w:val="24"/>
                <w:szCs w:val="24"/>
                <w:lang w:eastAsia="uk-UA"/>
              </w:rPr>
              <w:t xml:space="preserve">наченому радою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 розпорядників бюджетних коштів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7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Оприлюднення Прогнозу бюджету Менської міської територіальної громади на офіційному сайті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У п’ятиденний термін після схвалення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міської ради та відділ цифрових трансформацій та кіберзахисту</w:t>
            </w:r>
            <w:r>
              <w:rPr>
                <w:sz w:val="24"/>
                <w:szCs w:val="24"/>
                <w:lang w:eastAsia="uk-UA"/>
              </w:rPr>
            </w:r>
          </w:p>
        </w:tc>
      </w:tr>
      <w:tr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1</w:t>
            </w:r>
            <w:r>
              <w:rPr>
                <w:sz w:val="24"/>
                <w:szCs w:val="24"/>
                <w:lang w:eastAsia="uk-UA"/>
              </w:rPr>
              <w:t xml:space="preserve">8</w:t>
            </w:r>
            <w:r>
              <w:rPr>
                <w:sz w:val="24"/>
                <w:szCs w:val="24"/>
                <w:lang w:eastAsia="uk-UA"/>
              </w:rPr>
              <w:t xml:space="preserve">.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7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Забезпечення подання інформації, що міститься в </w:t>
            </w:r>
            <w:r>
              <w:rPr>
                <w:sz w:val="24"/>
                <w:szCs w:val="24"/>
                <w:lang w:eastAsia="uk-UA"/>
              </w:rPr>
              <w:t xml:space="preserve">П</w:t>
            </w:r>
            <w:r>
              <w:rPr>
                <w:sz w:val="24"/>
                <w:szCs w:val="24"/>
                <w:lang w:eastAsia="uk-UA"/>
              </w:rPr>
              <w:t xml:space="preserve">рогнозі місцевого бюджету на 2027-2029 в </w:t>
            </w:r>
            <w:r>
              <w:rPr>
                <w:sz w:val="24"/>
                <w:szCs w:val="24"/>
                <w:lang w:val="en-US" w:eastAsia="uk-UA"/>
              </w:rPr>
              <w:t xml:space="preserve">AIC </w:t>
            </w:r>
            <w:r>
              <w:rPr>
                <w:sz w:val="24"/>
                <w:szCs w:val="24"/>
                <w:lang w:eastAsia="uk-UA"/>
              </w:rPr>
              <w:t xml:space="preserve">«</w:t>
            </w:r>
            <w:r>
              <w:rPr>
                <w:sz w:val="24"/>
                <w:szCs w:val="24"/>
                <w:lang w:val="en-US" w:eastAsia="uk-UA"/>
              </w:rPr>
              <w:t xml:space="preserve">LOGICA</w:t>
            </w:r>
            <w:r>
              <w:rPr>
                <w:sz w:val="24"/>
                <w:szCs w:val="24"/>
                <w:lang w:eastAsia="uk-UA"/>
              </w:rPr>
              <w:t xml:space="preserve">»</w:t>
            </w:r>
            <w:r>
              <w:rPr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/>
              <w:ind w:firstLine="0"/>
              <w:jc w:val="left"/>
              <w:rPr>
                <w:sz w:val="24"/>
                <w:szCs w:val="24"/>
                <w:lang w:val="en-US"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У термін, встановлений Міністерством фінансів України</w:t>
            </w:r>
            <w:r>
              <w:rPr>
                <w:sz w:val="24"/>
                <w:szCs w:val="24"/>
                <w:lang w:val="en-US" w:eastAsia="uk-UA"/>
              </w:rPr>
            </w:r>
            <w:r>
              <w:rPr>
                <w:sz w:val="24"/>
                <w:szCs w:val="24"/>
                <w:lang w:val="en-US" w:eastAsia="uk-UA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00" w:type="pct"/>
            <w:vAlign w:val="top"/>
            <w:textDirection w:val="lrTb"/>
            <w:noWrap w:val="false"/>
          </w:tcPr>
          <w:p>
            <w:pPr>
              <w:pStyle w:val="72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tabs>
                <w:tab w:val="clear" w:leader="none" w:pos="1134"/>
              </w:tabs>
              <w:spacing w:after="150" w:before="150"/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Фінансове управління Менської місько</w:t>
            </w:r>
            <w:r>
              <w:rPr>
                <w:sz w:val="24"/>
                <w:szCs w:val="24"/>
                <w:lang w:eastAsia="uk-UA"/>
              </w:rPr>
              <w:t xml:space="preserve">ї ради</w:t>
            </w:r>
            <w:r>
              <w:rPr>
                <w:sz w:val="24"/>
                <w:szCs w:val="24"/>
                <w:lang w:eastAsia="uk-UA"/>
              </w:rPr>
            </w:r>
          </w:p>
        </w:tc>
      </w:tr>
    </w:tbl>
    <w:p>
      <w:pPr>
        <w:pBdr/>
        <w:spacing/>
        <w:ind/>
        <w:rPr/>
      </w:pP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525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7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9"/>
  </w:num>
  <w:num w:numId="5">
    <w:abstractNumId w:val="18"/>
  </w:num>
  <w:num w:numId="6">
    <w:abstractNumId w:val="3"/>
  </w:num>
  <w:num w:numId="7">
    <w:abstractNumId w:val="15"/>
  </w:num>
  <w:num w:numId="8">
    <w:abstractNumId w:val="14"/>
  </w:num>
  <w:num w:numId="9">
    <w:abstractNumId w:val="7"/>
  </w:num>
  <w:num w:numId="10">
    <w:abstractNumId w:val="4"/>
  </w:num>
  <w:num w:numId="11">
    <w:abstractNumId w:val="6"/>
  </w:num>
  <w:num w:numId="12">
    <w:abstractNumId w:val="5"/>
  </w:num>
  <w:num w:numId="13">
    <w:abstractNumId w:val="19"/>
  </w:num>
  <w:num w:numId="14">
    <w:abstractNumId w:val="20"/>
  </w:num>
  <w:num w:numId="15">
    <w:abstractNumId w:val="17"/>
  </w:num>
  <w:num w:numId="16">
    <w:abstractNumId w:val="21"/>
  </w:num>
  <w:num w:numId="17">
    <w:abstractNumId w:val="1"/>
  </w:num>
  <w:num w:numId="18">
    <w:abstractNumId w:val="11"/>
  </w:num>
  <w:num w:numId="19">
    <w:abstractNumId w:val="16"/>
  </w:num>
  <w:num w:numId="20">
    <w:abstractNumId w:val="0"/>
  </w:num>
  <w:num w:numId="21">
    <w:abstractNumId w:val="1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21"/>
    <w:next w:val="721"/>
    <w:link w:val="78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21"/>
    <w:next w:val="721"/>
    <w:link w:val="78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21"/>
    <w:next w:val="721"/>
    <w:link w:val="78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21"/>
    <w:next w:val="721"/>
    <w:link w:val="78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21"/>
    <w:next w:val="721"/>
    <w:link w:val="78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21"/>
    <w:next w:val="721"/>
    <w:link w:val="78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1"/>
    <w:next w:val="721"/>
    <w:link w:val="79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1"/>
    <w:next w:val="721"/>
    <w:link w:val="79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1"/>
    <w:next w:val="721"/>
    <w:link w:val="79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21"/>
    <w:next w:val="721"/>
    <w:link w:val="79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1"/>
    <w:next w:val="721"/>
    <w:link w:val="79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1"/>
    <w:next w:val="721"/>
    <w:link w:val="79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21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1"/>
    <w:next w:val="721"/>
    <w:link w:val="79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2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21"/>
    <w:link w:val="79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21"/>
    <w:link w:val="79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21"/>
    <w:next w:val="72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1"/>
    <w:link w:val="81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1"/>
    <w:link w:val="81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21"/>
    <w:next w:val="721"/>
    <w:uiPriority w:val="99"/>
    <w:unhideWhenUsed/>
    <w:pPr>
      <w:pBdr/>
      <w:spacing w:after="0" w:afterAutospacing="0"/>
      <w:ind/>
    </w:pPr>
  </w:style>
  <w:style w:type="paragraph" w:styleId="721" w:default="1">
    <w:name w:val="Normal"/>
    <w:next w:val="721"/>
    <w:link w:val="721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22">
    <w:name w:val="Заголовок 1"/>
    <w:basedOn w:val="721"/>
    <w:next w:val="721"/>
    <w:link w:val="9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23">
    <w:name w:val="Заголовок 2"/>
    <w:basedOn w:val="721"/>
    <w:next w:val="721"/>
    <w:link w:val="910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24">
    <w:name w:val="Заголовок 3"/>
    <w:basedOn w:val="721"/>
    <w:next w:val="721"/>
    <w:link w:val="911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25">
    <w:name w:val="Заголовок 4"/>
    <w:basedOn w:val="721"/>
    <w:next w:val="721"/>
    <w:link w:val="91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6">
    <w:name w:val="Заголовок 5"/>
    <w:basedOn w:val="721"/>
    <w:next w:val="721"/>
    <w:link w:val="91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7">
    <w:name w:val="Заголовок 6"/>
    <w:basedOn w:val="721"/>
    <w:next w:val="721"/>
    <w:link w:val="91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28">
    <w:name w:val="Заголовок 7"/>
    <w:basedOn w:val="721"/>
    <w:next w:val="721"/>
    <w:link w:val="91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9">
    <w:name w:val="Заголовок 8"/>
    <w:basedOn w:val="721"/>
    <w:next w:val="721"/>
    <w:link w:val="91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30">
    <w:name w:val="Заголовок 9"/>
    <w:basedOn w:val="721"/>
    <w:next w:val="721"/>
    <w:link w:val="91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Шрифт абзацу за замовчуванням"/>
    <w:next w:val="731"/>
    <w:link w:val="721"/>
    <w:uiPriority w:val="1"/>
    <w:semiHidden/>
    <w:unhideWhenUsed/>
    <w:pPr>
      <w:pBdr/>
      <w:spacing/>
      <w:ind/>
    </w:pPr>
  </w:style>
  <w:style w:type="table" w:styleId="732">
    <w:name w:val="Звичайна таблиця"/>
    <w:next w:val="732"/>
    <w:link w:val="721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3">
    <w:name w:val="Немає списку"/>
    <w:next w:val="733"/>
    <w:link w:val="721"/>
    <w:uiPriority w:val="99"/>
    <w:semiHidden/>
    <w:unhideWhenUsed/>
    <w:pPr>
      <w:pBdr/>
      <w:spacing/>
      <w:ind/>
    </w:pPr>
  </w:style>
  <w:style w:type="table" w:styleId="734">
    <w:name w:val="Plain Table 1"/>
    <w:basedOn w:val="732"/>
    <w:next w:val="734"/>
    <w:link w:val="721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2"/>
    <w:basedOn w:val="732"/>
    <w:next w:val="735"/>
    <w:link w:val="721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3"/>
    <w:basedOn w:val="732"/>
    <w:next w:val="736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4"/>
    <w:basedOn w:val="732"/>
    <w:next w:val="737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5"/>
    <w:basedOn w:val="732"/>
    <w:next w:val="738"/>
    <w:link w:val="721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"/>
    <w:basedOn w:val="732"/>
    <w:next w:val="739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"/>
    <w:basedOn w:val="732"/>
    <w:next w:val="740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"/>
    <w:basedOn w:val="732"/>
    <w:next w:val="741"/>
    <w:link w:val="721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732"/>
    <w:next w:val="742"/>
    <w:link w:val="72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"/>
    <w:basedOn w:val="732"/>
    <w:next w:val="743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732"/>
    <w:next w:val="744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"/>
    <w:basedOn w:val="732"/>
    <w:next w:val="745"/>
    <w:link w:val="721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"/>
    <w:basedOn w:val="732"/>
    <w:next w:val="746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"/>
    <w:basedOn w:val="732"/>
    <w:next w:val="747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basedOn w:val="732"/>
    <w:next w:val="748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"/>
    <w:basedOn w:val="732"/>
    <w:next w:val="749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"/>
    <w:basedOn w:val="732"/>
    <w:next w:val="750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6 Colorful"/>
    <w:basedOn w:val="732"/>
    <w:next w:val="751"/>
    <w:link w:val="72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7 Colorful"/>
    <w:basedOn w:val="732"/>
    <w:next w:val="752"/>
    <w:link w:val="721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3">
    <w:name w:val="Сильне виокремлення"/>
    <w:next w:val="753"/>
    <w:link w:val="721"/>
    <w:uiPriority w:val="21"/>
    <w:qFormat/>
    <w:pPr>
      <w:pBdr/>
      <w:spacing/>
      <w:ind/>
    </w:pPr>
    <w:rPr>
      <w:i/>
      <w:iCs/>
      <w:color w:val="365f91"/>
    </w:rPr>
  </w:style>
  <w:style w:type="character" w:styleId="754">
    <w:name w:val="Сильне посилання"/>
    <w:next w:val="754"/>
    <w:link w:val="721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55">
    <w:name w:val="Слабке виокремлення"/>
    <w:next w:val="755"/>
    <w:link w:val="721"/>
    <w:uiPriority w:val="19"/>
    <w:qFormat/>
    <w:pPr>
      <w:pBdr/>
      <w:spacing/>
      <w:ind/>
    </w:pPr>
    <w:rPr>
      <w:i/>
      <w:iCs/>
      <w:color w:val="404040"/>
    </w:rPr>
  </w:style>
  <w:style w:type="character" w:styleId="756">
    <w:name w:val="Виділення"/>
    <w:next w:val="756"/>
    <w:link w:val="721"/>
    <w:uiPriority w:val="20"/>
    <w:qFormat/>
    <w:pPr>
      <w:pBdr/>
      <w:spacing/>
      <w:ind/>
    </w:pPr>
    <w:rPr>
      <w:i/>
      <w:iCs/>
    </w:rPr>
  </w:style>
  <w:style w:type="character" w:styleId="757">
    <w:name w:val="Строгий"/>
    <w:next w:val="757"/>
    <w:link w:val="721"/>
    <w:uiPriority w:val="22"/>
    <w:qFormat/>
    <w:pPr>
      <w:pBdr/>
      <w:spacing/>
      <w:ind/>
    </w:pPr>
    <w:rPr>
      <w:b/>
      <w:bCs/>
    </w:rPr>
  </w:style>
  <w:style w:type="character" w:styleId="758">
    <w:name w:val="Слабке посилання"/>
    <w:next w:val="758"/>
    <w:link w:val="721"/>
    <w:uiPriority w:val="31"/>
    <w:qFormat/>
    <w:pPr>
      <w:pBdr/>
      <w:spacing/>
      <w:ind/>
    </w:pPr>
    <w:rPr>
      <w:smallCaps/>
      <w:color w:val="5a5a5a"/>
    </w:rPr>
  </w:style>
  <w:style w:type="character" w:styleId="759">
    <w:name w:val="Назва книги"/>
    <w:next w:val="759"/>
    <w:link w:val="72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0">
    <w:name w:val="Переглянуте гіперпосилання"/>
    <w:next w:val="760"/>
    <w:link w:val="721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61">
    <w:name w:val="Заголовок змісту"/>
    <w:next w:val="761"/>
    <w:link w:val="721"/>
    <w:uiPriority w:val="39"/>
    <w:unhideWhenUsed/>
    <w:pPr>
      <w:pBdr/>
      <w:spacing/>
      <w:ind/>
    </w:pPr>
    <w:rPr>
      <w:lang w:val="uk-UA" w:eastAsia="uk-UA" w:bidi="ar-SA"/>
    </w:rPr>
  </w:style>
  <w:style w:type="character" w:styleId="762">
    <w:name w:val="Знак виноски"/>
    <w:next w:val="762"/>
    <w:link w:val="721"/>
    <w:uiPriority w:val="99"/>
    <w:unhideWhenUsed/>
    <w:qFormat/>
    <w:pPr>
      <w:pBdr/>
      <w:spacing/>
      <w:ind/>
    </w:pPr>
    <w:rPr>
      <w:vertAlign w:val="superscript"/>
    </w:rPr>
  </w:style>
  <w:style w:type="character" w:styleId="763">
    <w:name w:val="Знак кінцевої виноски"/>
    <w:next w:val="763"/>
    <w:link w:val="721"/>
    <w:uiPriority w:val="99"/>
    <w:semiHidden/>
    <w:unhideWhenUsed/>
    <w:pPr>
      <w:pBdr/>
      <w:spacing/>
      <w:ind/>
    </w:pPr>
    <w:rPr>
      <w:vertAlign w:val="superscript"/>
    </w:rPr>
  </w:style>
  <w:style w:type="character" w:styleId="764">
    <w:name w:val="Гіперпосилання"/>
    <w:next w:val="764"/>
    <w:link w:val="721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65">
    <w:name w:val="Текст у виносці"/>
    <w:basedOn w:val="721"/>
    <w:next w:val="765"/>
    <w:link w:val="951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66">
    <w:name w:val="Текст кінцевої виноски"/>
    <w:basedOn w:val="721"/>
    <w:next w:val="766"/>
    <w:link w:val="821"/>
    <w:uiPriority w:val="99"/>
    <w:semiHidden/>
    <w:unhideWhenUsed/>
    <w:qFormat/>
    <w:pPr>
      <w:pBdr/>
      <w:spacing/>
      <w:ind/>
    </w:pPr>
    <w:rPr>
      <w:sz w:val="20"/>
    </w:rPr>
  </w:style>
  <w:style w:type="paragraph" w:styleId="767">
    <w:name w:val="Назва об'єкта"/>
    <w:basedOn w:val="721"/>
    <w:next w:val="721"/>
    <w:link w:val="72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68">
    <w:name w:val="Текст виноски"/>
    <w:basedOn w:val="721"/>
    <w:next w:val="768"/>
    <w:link w:val="949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69">
    <w:name w:val="Зміст 8"/>
    <w:basedOn w:val="721"/>
    <w:next w:val="721"/>
    <w:link w:val="721"/>
    <w:uiPriority w:val="39"/>
    <w:unhideWhenUsed/>
    <w:pPr>
      <w:pBdr/>
      <w:spacing w:after="57"/>
      <w:ind w:firstLine="0" w:left="1984"/>
    </w:pPr>
  </w:style>
  <w:style w:type="paragraph" w:styleId="770">
    <w:name w:val="Верхній колонтитул"/>
    <w:basedOn w:val="721"/>
    <w:next w:val="770"/>
    <w:link w:val="926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71">
    <w:name w:val="Зміст 9"/>
    <w:basedOn w:val="721"/>
    <w:next w:val="721"/>
    <w:link w:val="721"/>
    <w:uiPriority w:val="39"/>
    <w:unhideWhenUsed/>
    <w:pPr>
      <w:pBdr/>
      <w:spacing w:after="57"/>
      <w:ind w:firstLine="0" w:left="2268"/>
    </w:pPr>
  </w:style>
  <w:style w:type="paragraph" w:styleId="772">
    <w:name w:val="Зміст 7"/>
    <w:basedOn w:val="721"/>
    <w:next w:val="721"/>
    <w:link w:val="721"/>
    <w:uiPriority w:val="39"/>
    <w:unhideWhenUsed/>
    <w:pPr>
      <w:pBdr/>
      <w:spacing w:after="57"/>
      <w:ind w:firstLine="0" w:left="1701"/>
    </w:pPr>
  </w:style>
  <w:style w:type="paragraph" w:styleId="773">
    <w:name w:val="Зміст 1"/>
    <w:basedOn w:val="721"/>
    <w:next w:val="721"/>
    <w:link w:val="721"/>
    <w:uiPriority w:val="39"/>
    <w:unhideWhenUsed/>
    <w:qFormat/>
    <w:pPr>
      <w:pBdr/>
      <w:spacing w:after="57"/>
      <w:ind w:firstLine="0"/>
    </w:pPr>
  </w:style>
  <w:style w:type="paragraph" w:styleId="774">
    <w:name w:val="Зміст 6"/>
    <w:basedOn w:val="721"/>
    <w:next w:val="721"/>
    <w:link w:val="721"/>
    <w:uiPriority w:val="39"/>
    <w:unhideWhenUsed/>
    <w:qFormat/>
    <w:pPr>
      <w:pBdr/>
      <w:spacing w:after="57"/>
      <w:ind w:firstLine="0" w:left="1417"/>
    </w:pPr>
  </w:style>
  <w:style w:type="paragraph" w:styleId="775">
    <w:name w:val="Перелік рисунків"/>
    <w:basedOn w:val="721"/>
    <w:next w:val="721"/>
    <w:link w:val="721"/>
    <w:uiPriority w:val="99"/>
    <w:unhideWhenUsed/>
    <w:qFormat/>
    <w:pPr>
      <w:pBdr/>
      <w:spacing/>
      <w:ind/>
    </w:pPr>
  </w:style>
  <w:style w:type="paragraph" w:styleId="776">
    <w:name w:val="Зміст 3"/>
    <w:basedOn w:val="721"/>
    <w:next w:val="721"/>
    <w:link w:val="721"/>
    <w:uiPriority w:val="39"/>
    <w:unhideWhenUsed/>
    <w:qFormat/>
    <w:pPr>
      <w:pBdr/>
      <w:spacing w:after="57"/>
      <w:ind w:firstLine="0" w:left="567"/>
    </w:pPr>
  </w:style>
  <w:style w:type="paragraph" w:styleId="777">
    <w:name w:val="Зміст 2"/>
    <w:basedOn w:val="721"/>
    <w:next w:val="721"/>
    <w:link w:val="721"/>
    <w:uiPriority w:val="39"/>
    <w:unhideWhenUsed/>
    <w:pPr>
      <w:pBdr/>
      <w:spacing w:after="57"/>
      <w:ind w:firstLine="0" w:left="283"/>
    </w:pPr>
  </w:style>
  <w:style w:type="paragraph" w:styleId="778">
    <w:name w:val="Зміст 4"/>
    <w:basedOn w:val="721"/>
    <w:next w:val="721"/>
    <w:link w:val="721"/>
    <w:uiPriority w:val="39"/>
    <w:unhideWhenUsed/>
    <w:pPr>
      <w:pBdr/>
      <w:spacing w:after="57"/>
      <w:ind w:firstLine="0" w:left="850"/>
    </w:pPr>
  </w:style>
  <w:style w:type="paragraph" w:styleId="779">
    <w:name w:val="Зміст 5"/>
    <w:basedOn w:val="721"/>
    <w:next w:val="721"/>
    <w:link w:val="721"/>
    <w:uiPriority w:val="39"/>
    <w:unhideWhenUsed/>
    <w:pPr>
      <w:pBdr/>
      <w:spacing w:after="57"/>
      <w:ind w:firstLine="0" w:left="1134"/>
    </w:pPr>
  </w:style>
  <w:style w:type="paragraph" w:styleId="780">
    <w:name w:val="Назва"/>
    <w:basedOn w:val="721"/>
    <w:next w:val="721"/>
    <w:link w:val="92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81">
    <w:name w:val="Нижній колонтитул"/>
    <w:basedOn w:val="721"/>
    <w:next w:val="781"/>
    <w:link w:val="927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82">
    <w:name w:val="Підзаголовок"/>
    <w:basedOn w:val="721"/>
    <w:next w:val="721"/>
    <w:link w:val="921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83">
    <w:name w:val="Сітка таблиці"/>
    <w:basedOn w:val="732"/>
    <w:next w:val="783"/>
    <w:link w:val="721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4">
    <w:name w:val="Heading 1 Char"/>
    <w:next w:val="784"/>
    <w:link w:val="721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5">
    <w:name w:val="Heading 2 Char"/>
    <w:next w:val="785"/>
    <w:link w:val="721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86">
    <w:name w:val="Heading 3 Char"/>
    <w:next w:val="786"/>
    <w:link w:val="721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7">
    <w:name w:val="Heading 4 Char"/>
    <w:next w:val="787"/>
    <w:link w:val="721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8">
    <w:name w:val="Heading 5 Char"/>
    <w:next w:val="788"/>
    <w:link w:val="721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9">
    <w:name w:val="Heading 6 Char"/>
    <w:next w:val="789"/>
    <w:link w:val="721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0">
    <w:name w:val="Heading 7 Char"/>
    <w:next w:val="790"/>
    <w:link w:val="721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1">
    <w:name w:val="Heading 8 Char"/>
    <w:next w:val="791"/>
    <w:link w:val="72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9 Char"/>
    <w:next w:val="792"/>
    <w:link w:val="72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93">
    <w:name w:val="Title Char"/>
    <w:next w:val="793"/>
    <w:link w:val="721"/>
    <w:uiPriority w:val="10"/>
    <w:qFormat/>
    <w:pPr>
      <w:pBdr/>
      <w:spacing/>
      <w:ind/>
    </w:pPr>
    <w:rPr>
      <w:sz w:val="48"/>
      <w:szCs w:val="48"/>
    </w:rPr>
  </w:style>
  <w:style w:type="character" w:styleId="794">
    <w:name w:val="Subtitle Char"/>
    <w:next w:val="794"/>
    <w:link w:val="721"/>
    <w:uiPriority w:val="11"/>
    <w:qFormat/>
    <w:pPr>
      <w:pBdr/>
      <w:spacing/>
      <w:ind/>
    </w:pPr>
    <w:rPr>
      <w:sz w:val="24"/>
      <w:szCs w:val="24"/>
    </w:rPr>
  </w:style>
  <w:style w:type="character" w:styleId="795">
    <w:name w:val="Quote Char"/>
    <w:next w:val="795"/>
    <w:link w:val="721"/>
    <w:uiPriority w:val="29"/>
    <w:qFormat/>
    <w:pPr>
      <w:pBdr/>
      <w:spacing/>
      <w:ind/>
    </w:pPr>
    <w:rPr>
      <w:i/>
    </w:rPr>
  </w:style>
  <w:style w:type="character" w:styleId="796">
    <w:name w:val="Intense Quote Char"/>
    <w:next w:val="796"/>
    <w:link w:val="721"/>
    <w:uiPriority w:val="30"/>
    <w:qFormat/>
    <w:pPr>
      <w:pBdr/>
      <w:spacing/>
      <w:ind/>
    </w:pPr>
    <w:rPr>
      <w:i/>
    </w:rPr>
  </w:style>
  <w:style w:type="character" w:styleId="797">
    <w:name w:val="Header Char"/>
    <w:basedOn w:val="731"/>
    <w:next w:val="797"/>
    <w:link w:val="721"/>
    <w:uiPriority w:val="99"/>
    <w:qFormat/>
    <w:pPr>
      <w:pBdr/>
      <w:spacing/>
      <w:ind/>
    </w:pPr>
  </w:style>
  <w:style w:type="character" w:styleId="798">
    <w:name w:val="Footer Char"/>
    <w:basedOn w:val="731"/>
    <w:next w:val="798"/>
    <w:link w:val="721"/>
    <w:uiPriority w:val="99"/>
    <w:pPr>
      <w:pBdr/>
      <w:spacing/>
      <w:ind/>
    </w:pPr>
  </w:style>
  <w:style w:type="table" w:styleId="799">
    <w:name w:val="Звичайна таблиця 11"/>
    <w:basedOn w:val="732"/>
    <w:next w:val="799"/>
    <w:link w:val="721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Звичайна таблиця 21"/>
    <w:basedOn w:val="732"/>
    <w:next w:val="800"/>
    <w:link w:val="721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Звичайна таблиця 31"/>
    <w:basedOn w:val="732"/>
    <w:next w:val="801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Звичайна таблиця 41"/>
    <w:basedOn w:val="732"/>
    <w:next w:val="802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Звичайна таблиця 51"/>
    <w:basedOn w:val="732"/>
    <w:next w:val="803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Таблиця-сітка 1 (світла)1"/>
    <w:basedOn w:val="732"/>
    <w:next w:val="804"/>
    <w:link w:val="721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Таблиця-сітка 21"/>
    <w:basedOn w:val="732"/>
    <w:next w:val="805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Таблиця-сітка 31"/>
    <w:basedOn w:val="732"/>
    <w:next w:val="806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Таблиця-сітка 41"/>
    <w:basedOn w:val="732"/>
    <w:next w:val="807"/>
    <w:link w:val="721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Таблиця-сітка 5 (темна)1"/>
    <w:basedOn w:val="732"/>
    <w:next w:val="808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Таблиця-сітка 6 (кольорова)1"/>
    <w:basedOn w:val="732"/>
    <w:next w:val="809"/>
    <w:link w:val="721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Таблиця-сітка 7 (кольорова)1"/>
    <w:basedOn w:val="732"/>
    <w:next w:val="810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Таблиця-список 1 (світлий)1"/>
    <w:basedOn w:val="732"/>
    <w:next w:val="811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Таблиця-список 21"/>
    <w:basedOn w:val="732"/>
    <w:next w:val="812"/>
    <w:link w:val="721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Таблиця-список 31"/>
    <w:basedOn w:val="732"/>
    <w:next w:val="813"/>
    <w:link w:val="721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Таблиця-список 41"/>
    <w:basedOn w:val="732"/>
    <w:next w:val="814"/>
    <w:link w:val="721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Таблиця-список 5 (темний)1"/>
    <w:basedOn w:val="732"/>
    <w:next w:val="815"/>
    <w:link w:val="721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Таблиця-список 6 (кольоровий)1"/>
    <w:basedOn w:val="732"/>
    <w:next w:val="816"/>
    <w:link w:val="721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Таблиця-список 7 (кольоровий)1"/>
    <w:basedOn w:val="732"/>
    <w:next w:val="817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8">
    <w:name w:val="Footnote Text Char"/>
    <w:next w:val="818"/>
    <w:link w:val="721"/>
    <w:uiPriority w:val="99"/>
    <w:pPr>
      <w:pBdr/>
      <w:spacing/>
      <w:ind/>
    </w:pPr>
    <w:rPr>
      <w:sz w:val="18"/>
    </w:rPr>
  </w:style>
  <w:style w:type="character" w:styleId="819">
    <w:name w:val="Endnote Text Char"/>
    <w:next w:val="819"/>
    <w:link w:val="721"/>
    <w:uiPriority w:val="99"/>
    <w:pPr>
      <w:pBdr/>
      <w:spacing/>
      <w:ind/>
    </w:pPr>
    <w:rPr>
      <w:sz w:val="20"/>
    </w:rPr>
  </w:style>
  <w:style w:type="character" w:styleId="820">
    <w:name w:val="Caption Char"/>
    <w:next w:val="820"/>
    <w:link w:val="721"/>
    <w:uiPriority w:val="99"/>
    <w:pPr>
      <w:pBdr/>
      <w:spacing/>
      <w:ind/>
    </w:pPr>
  </w:style>
  <w:style w:type="character" w:styleId="821">
    <w:name w:val="Текст кінцевої виноски Знак"/>
    <w:next w:val="821"/>
    <w:link w:val="766"/>
    <w:uiPriority w:val="99"/>
    <w:pPr>
      <w:pBdr/>
      <w:spacing/>
      <w:ind/>
    </w:pPr>
    <w:rPr>
      <w:sz w:val="20"/>
    </w:rPr>
  </w:style>
  <w:style w:type="table" w:styleId="822">
    <w:name w:val="Table Grid Light"/>
    <w:basedOn w:val="732"/>
    <w:next w:val="822"/>
    <w:link w:val="721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1"/>
    <w:basedOn w:val="732"/>
    <w:next w:val="823"/>
    <w:link w:val="721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2"/>
    <w:basedOn w:val="732"/>
    <w:next w:val="824"/>
    <w:link w:val="721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3"/>
    <w:basedOn w:val="732"/>
    <w:next w:val="825"/>
    <w:link w:val="721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4"/>
    <w:basedOn w:val="732"/>
    <w:next w:val="826"/>
    <w:link w:val="721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5"/>
    <w:basedOn w:val="732"/>
    <w:next w:val="827"/>
    <w:link w:val="721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6"/>
    <w:basedOn w:val="732"/>
    <w:next w:val="828"/>
    <w:link w:val="721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1"/>
    <w:basedOn w:val="732"/>
    <w:next w:val="829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2"/>
    <w:basedOn w:val="732"/>
    <w:next w:val="830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3"/>
    <w:basedOn w:val="732"/>
    <w:next w:val="831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4"/>
    <w:basedOn w:val="732"/>
    <w:next w:val="832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5"/>
    <w:basedOn w:val="732"/>
    <w:next w:val="833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6"/>
    <w:basedOn w:val="732"/>
    <w:next w:val="834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1"/>
    <w:basedOn w:val="732"/>
    <w:next w:val="835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2"/>
    <w:basedOn w:val="732"/>
    <w:next w:val="836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3"/>
    <w:basedOn w:val="732"/>
    <w:next w:val="837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4"/>
    <w:basedOn w:val="732"/>
    <w:next w:val="838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5"/>
    <w:basedOn w:val="732"/>
    <w:next w:val="839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6"/>
    <w:basedOn w:val="732"/>
    <w:next w:val="840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1"/>
    <w:basedOn w:val="732"/>
    <w:next w:val="841"/>
    <w:link w:val="721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2"/>
    <w:basedOn w:val="732"/>
    <w:next w:val="842"/>
    <w:link w:val="721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3"/>
    <w:basedOn w:val="732"/>
    <w:next w:val="843"/>
    <w:link w:val="721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4"/>
    <w:basedOn w:val="732"/>
    <w:next w:val="844"/>
    <w:link w:val="721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- Accent 5"/>
    <w:basedOn w:val="732"/>
    <w:next w:val="845"/>
    <w:link w:val="721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6"/>
    <w:basedOn w:val="732"/>
    <w:next w:val="846"/>
    <w:link w:val="721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- Accent 1"/>
    <w:basedOn w:val="732"/>
    <w:next w:val="847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2"/>
    <w:basedOn w:val="732"/>
    <w:next w:val="848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- Accent 3"/>
    <w:basedOn w:val="732"/>
    <w:next w:val="849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- Accent 4"/>
    <w:basedOn w:val="732"/>
    <w:next w:val="850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- Accent 5"/>
    <w:basedOn w:val="732"/>
    <w:next w:val="851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- Accent 6"/>
    <w:basedOn w:val="732"/>
    <w:next w:val="852"/>
    <w:link w:val="72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1"/>
    <w:basedOn w:val="732"/>
    <w:next w:val="853"/>
    <w:link w:val="721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2"/>
    <w:basedOn w:val="732"/>
    <w:next w:val="854"/>
    <w:link w:val="721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3"/>
    <w:basedOn w:val="732"/>
    <w:next w:val="855"/>
    <w:link w:val="721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- Accent 4"/>
    <w:basedOn w:val="732"/>
    <w:next w:val="856"/>
    <w:link w:val="721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- Accent 5"/>
    <w:basedOn w:val="732"/>
    <w:next w:val="857"/>
    <w:link w:val="721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6"/>
    <w:basedOn w:val="732"/>
    <w:next w:val="858"/>
    <w:link w:val="721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1"/>
    <w:basedOn w:val="732"/>
    <w:next w:val="859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2"/>
    <w:basedOn w:val="732"/>
    <w:next w:val="860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3"/>
    <w:basedOn w:val="732"/>
    <w:next w:val="861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4"/>
    <w:basedOn w:val="732"/>
    <w:next w:val="862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- Accent 5"/>
    <w:basedOn w:val="732"/>
    <w:next w:val="863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- Accent 6"/>
    <w:basedOn w:val="732"/>
    <w:next w:val="864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1"/>
    <w:basedOn w:val="732"/>
    <w:next w:val="865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2"/>
    <w:basedOn w:val="732"/>
    <w:next w:val="866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3"/>
    <w:basedOn w:val="732"/>
    <w:next w:val="867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4"/>
    <w:basedOn w:val="732"/>
    <w:next w:val="868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5"/>
    <w:basedOn w:val="732"/>
    <w:next w:val="869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6"/>
    <w:basedOn w:val="732"/>
    <w:next w:val="870"/>
    <w:link w:val="72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1"/>
    <w:basedOn w:val="732"/>
    <w:next w:val="871"/>
    <w:link w:val="721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2"/>
    <w:basedOn w:val="732"/>
    <w:next w:val="872"/>
    <w:link w:val="721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3"/>
    <w:basedOn w:val="732"/>
    <w:next w:val="873"/>
    <w:link w:val="721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4"/>
    <w:basedOn w:val="732"/>
    <w:next w:val="874"/>
    <w:link w:val="721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5"/>
    <w:basedOn w:val="732"/>
    <w:next w:val="875"/>
    <w:link w:val="721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6"/>
    <w:basedOn w:val="732"/>
    <w:next w:val="876"/>
    <w:link w:val="721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1"/>
    <w:basedOn w:val="732"/>
    <w:next w:val="877"/>
    <w:link w:val="721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2"/>
    <w:basedOn w:val="732"/>
    <w:next w:val="878"/>
    <w:link w:val="721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3"/>
    <w:basedOn w:val="732"/>
    <w:next w:val="879"/>
    <w:link w:val="721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4"/>
    <w:basedOn w:val="732"/>
    <w:next w:val="880"/>
    <w:link w:val="721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5"/>
    <w:basedOn w:val="732"/>
    <w:next w:val="881"/>
    <w:link w:val="721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6"/>
    <w:basedOn w:val="732"/>
    <w:next w:val="882"/>
    <w:link w:val="721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1"/>
    <w:basedOn w:val="732"/>
    <w:next w:val="883"/>
    <w:link w:val="721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2"/>
    <w:basedOn w:val="732"/>
    <w:next w:val="884"/>
    <w:link w:val="721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3"/>
    <w:basedOn w:val="732"/>
    <w:next w:val="885"/>
    <w:link w:val="721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4"/>
    <w:basedOn w:val="732"/>
    <w:next w:val="886"/>
    <w:link w:val="721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5"/>
    <w:basedOn w:val="732"/>
    <w:next w:val="887"/>
    <w:link w:val="721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6"/>
    <w:basedOn w:val="732"/>
    <w:next w:val="888"/>
    <w:link w:val="721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1"/>
    <w:basedOn w:val="732"/>
    <w:next w:val="889"/>
    <w:link w:val="721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2"/>
    <w:basedOn w:val="732"/>
    <w:next w:val="890"/>
    <w:link w:val="721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 - Accent 3"/>
    <w:basedOn w:val="732"/>
    <w:next w:val="891"/>
    <w:link w:val="721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4"/>
    <w:basedOn w:val="732"/>
    <w:next w:val="892"/>
    <w:link w:val="721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 - Accent 5"/>
    <w:basedOn w:val="732"/>
    <w:next w:val="893"/>
    <w:link w:val="721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6"/>
    <w:basedOn w:val="732"/>
    <w:next w:val="894"/>
    <w:link w:val="721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1"/>
    <w:basedOn w:val="732"/>
    <w:next w:val="895"/>
    <w:link w:val="721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2"/>
    <w:basedOn w:val="732"/>
    <w:next w:val="896"/>
    <w:link w:val="721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3"/>
    <w:basedOn w:val="732"/>
    <w:next w:val="897"/>
    <w:link w:val="721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 - Accent 4"/>
    <w:basedOn w:val="732"/>
    <w:next w:val="898"/>
    <w:link w:val="721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6 Colorful - Accent 5"/>
    <w:basedOn w:val="732"/>
    <w:next w:val="899"/>
    <w:link w:val="721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rful - Accent 6"/>
    <w:basedOn w:val="732"/>
    <w:next w:val="900"/>
    <w:link w:val="721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1"/>
    <w:basedOn w:val="732"/>
    <w:next w:val="901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2"/>
    <w:basedOn w:val="732"/>
    <w:next w:val="902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3"/>
    <w:basedOn w:val="732"/>
    <w:next w:val="903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4"/>
    <w:basedOn w:val="732"/>
    <w:next w:val="904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7 Colorful - Accent 5"/>
    <w:basedOn w:val="732"/>
    <w:next w:val="905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6"/>
    <w:basedOn w:val="732"/>
    <w:next w:val="906"/>
    <w:link w:val="72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"/>
    <w:basedOn w:val="732"/>
    <w:next w:val="907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"/>
    <w:basedOn w:val="732"/>
    <w:next w:val="908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>
    <w:name w:val="Заголовок 1 Знак"/>
    <w:next w:val="909"/>
    <w:link w:val="72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10">
    <w:name w:val="Заголовок 2 Знак"/>
    <w:next w:val="910"/>
    <w:link w:val="72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11">
    <w:name w:val="Заголовок 3 Знак"/>
    <w:next w:val="911"/>
    <w:link w:val="72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12">
    <w:name w:val="Заголовок 4 Знак"/>
    <w:next w:val="912"/>
    <w:link w:val="72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13">
    <w:name w:val="Заголовок 5 Знак"/>
    <w:next w:val="913"/>
    <w:link w:val="72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14">
    <w:name w:val="Заголовок 6 Знак"/>
    <w:next w:val="914"/>
    <w:link w:val="72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15">
    <w:name w:val="Заголовок 7 Знак"/>
    <w:next w:val="915"/>
    <w:link w:val="72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16">
    <w:name w:val="Заголовок 8 Знак"/>
    <w:next w:val="916"/>
    <w:link w:val="72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17">
    <w:name w:val="Заголовок 9 Знак"/>
    <w:next w:val="917"/>
    <w:link w:val="73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18">
    <w:name w:val="Абзац списку"/>
    <w:basedOn w:val="721"/>
    <w:next w:val="918"/>
    <w:link w:val="721"/>
    <w:uiPriority w:val="34"/>
    <w:qFormat/>
    <w:pPr>
      <w:pBdr/>
      <w:spacing/>
      <w:ind w:left="720"/>
      <w:contextualSpacing w:val="true"/>
    </w:pPr>
  </w:style>
  <w:style w:type="paragraph" w:styleId="919">
    <w:name w:val="Без інтервалів"/>
    <w:next w:val="919"/>
    <w:link w:val="721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20">
    <w:name w:val="Назва Знак"/>
    <w:next w:val="920"/>
    <w:link w:val="780"/>
    <w:uiPriority w:val="10"/>
    <w:pPr>
      <w:pBdr/>
      <w:spacing/>
      <w:ind/>
    </w:pPr>
    <w:rPr>
      <w:sz w:val="48"/>
      <w:szCs w:val="48"/>
    </w:rPr>
  </w:style>
  <w:style w:type="character" w:styleId="921">
    <w:name w:val="Підзаголовок Знак"/>
    <w:next w:val="921"/>
    <w:link w:val="782"/>
    <w:uiPriority w:val="11"/>
    <w:pPr>
      <w:pBdr/>
      <w:spacing/>
      <w:ind/>
    </w:pPr>
    <w:rPr>
      <w:sz w:val="24"/>
      <w:szCs w:val="24"/>
    </w:rPr>
  </w:style>
  <w:style w:type="paragraph" w:styleId="922">
    <w:name w:val="Цитата"/>
    <w:basedOn w:val="721"/>
    <w:next w:val="721"/>
    <w:link w:val="923"/>
    <w:uiPriority w:val="29"/>
    <w:qFormat/>
    <w:pPr>
      <w:pBdr/>
      <w:spacing/>
      <w:ind w:right="720" w:left="720"/>
    </w:pPr>
    <w:rPr>
      <w:i/>
    </w:rPr>
  </w:style>
  <w:style w:type="character" w:styleId="923">
    <w:name w:val="Цитата Знак"/>
    <w:next w:val="923"/>
    <w:link w:val="922"/>
    <w:uiPriority w:val="29"/>
    <w:pPr>
      <w:pBdr/>
      <w:spacing/>
      <w:ind/>
    </w:pPr>
    <w:rPr>
      <w:i/>
    </w:rPr>
  </w:style>
  <w:style w:type="paragraph" w:styleId="924">
    <w:name w:val="Насичена цитата"/>
    <w:basedOn w:val="721"/>
    <w:next w:val="721"/>
    <w:link w:val="92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25">
    <w:name w:val="Насичена цитата Знак"/>
    <w:next w:val="925"/>
    <w:link w:val="924"/>
    <w:uiPriority w:val="30"/>
    <w:pPr>
      <w:pBdr/>
      <w:spacing/>
      <w:ind/>
    </w:pPr>
    <w:rPr>
      <w:i/>
    </w:rPr>
  </w:style>
  <w:style w:type="character" w:styleId="926">
    <w:name w:val="Верхній колонтитул Знак"/>
    <w:basedOn w:val="731"/>
    <w:next w:val="926"/>
    <w:link w:val="770"/>
    <w:uiPriority w:val="99"/>
    <w:pPr>
      <w:pBdr/>
      <w:spacing/>
      <w:ind/>
    </w:pPr>
  </w:style>
  <w:style w:type="character" w:styleId="927">
    <w:name w:val="Нижній колонтитул Знак"/>
    <w:basedOn w:val="731"/>
    <w:next w:val="927"/>
    <w:link w:val="781"/>
    <w:uiPriority w:val="99"/>
    <w:pPr>
      <w:pBdr/>
      <w:spacing/>
      <w:ind/>
    </w:pPr>
  </w:style>
  <w:style w:type="table" w:styleId="928">
    <w:name w:val="Lined"/>
    <w:basedOn w:val="732"/>
    <w:next w:val="928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1"/>
    <w:basedOn w:val="732"/>
    <w:next w:val="929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2"/>
    <w:basedOn w:val="732"/>
    <w:next w:val="930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3"/>
    <w:basedOn w:val="732"/>
    <w:next w:val="931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4"/>
    <w:basedOn w:val="732"/>
    <w:next w:val="932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5"/>
    <w:basedOn w:val="732"/>
    <w:next w:val="933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6"/>
    <w:basedOn w:val="732"/>
    <w:next w:val="934"/>
    <w:link w:val="72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"/>
    <w:basedOn w:val="732"/>
    <w:next w:val="935"/>
    <w:link w:val="721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1"/>
    <w:basedOn w:val="732"/>
    <w:next w:val="936"/>
    <w:link w:val="721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2"/>
    <w:basedOn w:val="732"/>
    <w:next w:val="937"/>
    <w:link w:val="721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3"/>
    <w:basedOn w:val="732"/>
    <w:next w:val="938"/>
    <w:link w:val="721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4"/>
    <w:basedOn w:val="732"/>
    <w:next w:val="939"/>
    <w:link w:val="721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5"/>
    <w:basedOn w:val="732"/>
    <w:next w:val="940"/>
    <w:link w:val="721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6"/>
    <w:basedOn w:val="732"/>
    <w:next w:val="941"/>
    <w:link w:val="721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"/>
    <w:basedOn w:val="732"/>
    <w:next w:val="942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1"/>
    <w:basedOn w:val="732"/>
    <w:next w:val="943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2"/>
    <w:basedOn w:val="732"/>
    <w:next w:val="944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3"/>
    <w:basedOn w:val="732"/>
    <w:next w:val="945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4"/>
    <w:basedOn w:val="732"/>
    <w:next w:val="946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5"/>
    <w:basedOn w:val="732"/>
    <w:next w:val="947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6"/>
    <w:basedOn w:val="732"/>
    <w:next w:val="948"/>
    <w:link w:val="72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9">
    <w:name w:val="Текст виноски Знак"/>
    <w:next w:val="949"/>
    <w:link w:val="768"/>
    <w:uiPriority w:val="99"/>
    <w:pPr>
      <w:pBdr/>
      <w:spacing/>
      <w:ind/>
    </w:pPr>
    <w:rPr>
      <w:sz w:val="18"/>
    </w:rPr>
  </w:style>
  <w:style w:type="paragraph" w:styleId="950">
    <w:name w:val="Заголовок оглавления1"/>
    <w:next w:val="950"/>
    <w:link w:val="721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51">
    <w:name w:val="Текст у виносці Знак"/>
    <w:next w:val="951"/>
    <w:link w:val="765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52">
    <w:name w:val="docdata"/>
    <w:basedOn w:val="721"/>
    <w:next w:val="952"/>
    <w:link w:val="7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53">
    <w:name w:val="docy"/>
    <w:basedOn w:val="731"/>
    <w:next w:val="953"/>
    <w:link w:val="72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79</cp:revision>
  <dcterms:created xsi:type="dcterms:W3CDTF">2026-02-06T08:27:00Z</dcterms:created>
  <dcterms:modified xsi:type="dcterms:W3CDTF">2026-07-17T07:04:54Z</dcterms:modified>
  <cp:version>1048576</cp:version>
</cp:coreProperties>
</file>