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left="652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</w:r>
    </w:p>
    <w:p>
      <w:pPr>
        <w:widowControl w:val="false"/>
        <w:pBdr/>
        <w:spacing/>
        <w:ind w:left="652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</w:t>
      </w: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проєкту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рішення 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5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сесії Менської міської ради 8 скликання </w:t>
      </w:r>
      <w:r>
        <w:rPr>
          <w:sz w:val="28"/>
          <w:szCs w:val="28"/>
        </w:rPr>
      </w:r>
    </w:p>
    <w:p>
      <w:pPr>
        <w:widowControl w:val="false"/>
        <w:pBdr/>
        <w:spacing/>
        <w:ind w:left="652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липня</w:t>
      </w:r>
      <w:r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року №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left="56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виконання 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організації харчування дітей в закладах загальної середньої освіти Менської міської ради на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роки 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місяці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створення умов для збереження здоров’я дітей, підвищення рівня організації харчування, забезпечення учнів закладів загальної середньої осві</w:t>
      </w:r>
      <w:r>
        <w:rPr>
          <w:sz w:val="28"/>
          <w:szCs w:val="28"/>
        </w:rPr>
        <w:t xml:space="preserve">ти якісним харчуванням, впровадження нових технологій приготування їжі, протягом звітного періоду здійснювалося виконання основних завдань, визначених Програмою організації харчування дітей в закладах загальної середньої освіти Менської міської ради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(в новій редакції)</w:t>
      </w:r>
      <w:r>
        <w:rPr>
          <w:sz w:val="28"/>
          <w:szCs w:val="28"/>
        </w:rPr>
        <w:t xml:space="preserve">, затвердженої рішенням 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 сесії Менської міської ради 8 скликання від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</w:t>
      </w:r>
      <w:r>
        <w:rPr>
          <w:sz w:val="28"/>
          <w:szCs w:val="28"/>
        </w:rPr>
        <w:t xml:space="preserve"> сесії Менської міської ради 8 скликання від 18 грудня 2025 року № 740 «Про порядок організації харчування учнів у закладах загальної </w:t>
      </w:r>
      <w:r>
        <w:rPr>
          <w:sz w:val="28"/>
          <w:szCs w:val="28"/>
        </w:rPr>
        <w:t xml:space="preserve">середньої освіти Менської міської ради з 01 січня 2026 року»  встановлено вартість одноразового безоплатного харчування на одного учня, що здобуває початкову освіту в закладах загальної середньої освіти Менської міської ради (учні 1-4 класів) в сумі 50 грн</w:t>
      </w:r>
      <w:r>
        <w:rPr>
          <w:sz w:val="28"/>
          <w:szCs w:val="28"/>
        </w:rPr>
        <w:t xml:space="preserve">, що фінансується за рахунок: субвенції з державного бюджету місцевим бюджетам, згідно постанови</w:t>
      </w:r>
      <w:r>
        <w:rPr>
          <w:sz w:val="28"/>
          <w:szCs w:val="28"/>
        </w:rPr>
        <w:t xml:space="preserve"> Кабінету Міністрів України від 20.12.2024 № 1456 (зі змінами) та субвенції з державного бюджету місцевим бюджетам на покращення харчування та фінансування харчування учнів початкових класів закладів загальної середньої освіти за рахунок коштів, отриманих </w:t>
      </w:r>
      <w:r>
        <w:rPr>
          <w:sz w:val="28"/>
          <w:szCs w:val="28"/>
        </w:rPr>
        <w:t xml:space="preserve">від Всесвітньої продовольчої програми ООН, згідно постанови Кабінету Міністрів України від 20.12.2024 № 1451 (зі змінами), за умови якщо в закладах освіти організовано навчання за очною формою або шляхом поєднання очної та дистанційної форми.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становлено </w:t>
      </w:r>
      <w:r>
        <w:rPr>
          <w:sz w:val="28"/>
          <w:szCs w:val="28"/>
        </w:rPr>
        <w:t xml:space="preserve">вартість одноразового безоплатного харчування на одного учня, що здобуває базову та профільну середню освіту в закладах загальної середньої освіти Менської міської ради (учні 5-11(12) класів) в сумі 60 грн, що фінансується за ра</w:t>
      </w:r>
      <w:r>
        <w:rPr>
          <w:sz w:val="28"/>
          <w:szCs w:val="28"/>
        </w:rPr>
        <w:t xml:space="preserve">хунок субвенції з державного бюджету місцевим бюджетам, згідно постанови Кабінету Міністрів України від 20.12.2024 № 1456 (зі змінами), за умови якщо в закладах освіти організовано навчання за очною формою або шляхом поєднання очної та дистанційної форми.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даними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</w:t>
      </w:r>
      <w:r>
        <w:rPr>
          <w:sz w:val="28"/>
          <w:szCs w:val="28"/>
        </w:rPr>
        <w:t xml:space="preserve">мережі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9 закладах загальної середньої освіти</w:t>
      </w:r>
      <w:r>
        <w:rPr>
          <w:sz w:val="28"/>
          <w:szCs w:val="28"/>
        </w:rPr>
        <w:t xml:space="preserve"> та 3 філіях </w:t>
      </w:r>
      <w:r>
        <w:rPr>
          <w:sz w:val="28"/>
          <w:szCs w:val="28"/>
        </w:rPr>
        <w:t xml:space="preserve">навчається</w:t>
      </w:r>
      <w:r>
        <w:rPr>
          <w:sz w:val="28"/>
          <w:szCs w:val="28"/>
        </w:rPr>
        <w:t xml:space="preserve"> 2125 дітей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0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/>
      </w:pPr>
      <w:r>
        <w:rPr>
          <w:sz w:val="28"/>
          <w:szCs w:val="28"/>
        </w:rPr>
        <w:t xml:space="preserve">Програмою організації харчування дітей в закладах загальної середньої освіти Менської міської ради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роки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рік передбачалося загальний орієнтовний обсяг фінансових ресурсів, необхідних для реалізації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eastAsia="ru-RU"/>
        </w:rPr>
        <w:t xml:space="preserve">14 </w:t>
      </w:r>
      <w:r>
        <w:rPr>
          <w:b/>
          <w:sz w:val="28"/>
          <w:szCs w:val="28"/>
          <w:lang w:eastAsia="ru-RU"/>
        </w:rPr>
        <w:t xml:space="preserve">739</w:t>
      </w:r>
      <w:r>
        <w:rPr>
          <w:b/>
          <w:sz w:val="28"/>
          <w:szCs w:val="28"/>
          <w:lang w:eastAsia="ru-RU"/>
        </w:rPr>
        <w:t xml:space="preserve"> 7</w:t>
      </w:r>
      <w:r>
        <w:rPr>
          <w:b/>
          <w:sz w:val="28"/>
          <w:szCs w:val="28"/>
          <w:lang w:eastAsia="ru-RU"/>
        </w:rPr>
        <w:t xml:space="preserve">3</w:t>
      </w:r>
      <w:r>
        <w:rPr>
          <w:b/>
          <w:sz w:val="28"/>
          <w:szCs w:val="28"/>
          <w:lang w:eastAsia="ru-RU"/>
        </w:rPr>
        <w:t xml:space="preserve">5,00 грн.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місяці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оку</w:t>
      </w:r>
      <w:r>
        <w:rPr>
          <w:sz w:val="28"/>
          <w:szCs w:val="28"/>
        </w:rPr>
        <w:t xml:space="preserve"> сума видатків становить – </w:t>
      </w:r>
      <w:r>
        <w:rPr>
          <w:b/>
          <w:sz w:val="28"/>
          <w:szCs w:val="28"/>
        </w:rPr>
        <w:t xml:space="preserve">1 995 </w:t>
      </w:r>
      <w:r>
        <w:rPr>
          <w:b/>
          <w:sz w:val="28"/>
          <w:szCs w:val="28"/>
        </w:rPr>
        <w:t xml:space="preserve">856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26</w:t>
      </w:r>
      <w:bookmarkStart w:id="0" w:name="_GoBack"/>
      <w:r/>
      <w:bookmarkEnd w:id="0"/>
      <w:r>
        <w:rPr>
          <w:b/>
          <w:sz w:val="28"/>
          <w:szCs w:val="28"/>
        </w:rPr>
        <w:t xml:space="preserve"> грн</w:t>
      </w:r>
      <w:r>
        <w:rPr>
          <w:b/>
          <w:sz w:val="28"/>
          <w:szCs w:val="28"/>
        </w:rPr>
        <w:t xml:space="preserve"> на харчування учнів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-11 класів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з них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154 519,</w:t>
      </w:r>
      <w:r>
        <w:rPr>
          <w:b/>
          <w:sz w:val="28"/>
          <w:szCs w:val="28"/>
        </w:rPr>
        <w:t xml:space="preserve">43</w:t>
      </w:r>
      <w:r>
        <w:rPr>
          <w:b/>
          <w:sz w:val="28"/>
          <w:szCs w:val="28"/>
        </w:rPr>
        <w:t xml:space="preserve"> грн. – </w:t>
      </w:r>
      <w:r>
        <w:rPr>
          <w:sz w:val="28"/>
          <w:szCs w:val="28"/>
        </w:rPr>
        <w:t xml:space="preserve">кошти місцевого бюджету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183 257,11</w:t>
      </w:r>
      <w:r>
        <w:rPr>
          <w:b/>
          <w:sz w:val="28"/>
          <w:szCs w:val="28"/>
        </w:rPr>
        <w:t xml:space="preserve"> грн</w:t>
      </w:r>
      <w:r>
        <w:rPr>
          <w:b/>
          <w:sz w:val="28"/>
          <w:szCs w:val="28"/>
        </w:rPr>
        <w:t xml:space="preserve">. – </w:t>
      </w:r>
      <w:r>
        <w:rPr>
          <w:sz w:val="28"/>
          <w:szCs w:val="28"/>
        </w:rPr>
        <w:t xml:space="preserve">виконання </w:t>
      </w:r>
      <w:r>
        <w:rPr>
          <w:sz w:val="28"/>
          <w:szCs w:val="28"/>
        </w:rPr>
        <w:t xml:space="preserve">заходів за рахунок субвенції з державного бюджету місцевим бюджетам на покращення якості гарячого харчування та фінансування </w:t>
      </w:r>
      <w:r>
        <w:rPr>
          <w:sz w:val="28"/>
          <w:szCs w:val="28"/>
        </w:rPr>
        <w:t xml:space="preserve">харчування учнів початкових класів закладів загальної середньої освіти, </w:t>
      </w:r>
      <w:r>
        <w:rPr>
          <w:b/>
          <w:sz w:val="28"/>
          <w:szCs w:val="28"/>
        </w:rPr>
        <w:t xml:space="preserve">0,00 грн</w:t>
      </w:r>
      <w:r>
        <w:rPr>
          <w:b/>
          <w:sz w:val="28"/>
          <w:szCs w:val="28"/>
        </w:rPr>
        <w:t xml:space="preserve">. – </w:t>
      </w:r>
      <w:r>
        <w:rPr>
          <w:sz w:val="28"/>
          <w:szCs w:val="28"/>
        </w:rPr>
        <w:t xml:space="preserve">реалізація </w:t>
      </w:r>
      <w:r>
        <w:rPr>
          <w:sz w:val="28"/>
          <w:szCs w:val="28"/>
        </w:rPr>
        <w:t xml:space="preserve">заходів за рахунок освітньої субвенції з державного бюджету місцевим бюджетам (за спеціальним фондом державного бюджету) на забезпечення харчування учнів закладів загальної середньої освіти, </w:t>
      </w:r>
      <w:r>
        <w:rPr>
          <w:b/>
          <w:sz w:val="28"/>
          <w:szCs w:val="28"/>
        </w:rPr>
        <w:t xml:space="preserve">1 658 079,72</w:t>
      </w:r>
      <w:r>
        <w:rPr>
          <w:b/>
          <w:sz w:val="28"/>
          <w:szCs w:val="28"/>
        </w:rPr>
        <w:t xml:space="preserve"> грн.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забезпечення харчуванням учнів закладів загальної середньої освіти за рахунок субвенції з державного бюджету місцевим бюджетам</w:t>
      </w:r>
      <w:r>
        <w:rPr>
          <w:sz w:val="28"/>
          <w:szCs w:val="28"/>
        </w:rPr>
        <w:t xml:space="preserve">.</w:t>
      </w:r>
      <w:r/>
    </w:p>
    <w:p>
      <w:pPr>
        <w:pStyle w:val="680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0"/>
        <w:pBdr/>
        <w:shd w:val="clear" w:color="auto" w:fill="ffffff"/>
        <w:spacing w:after="0" w:afterAutospacing="0" w:before="0" w:beforeAutospacing="0" w:line="288" w:lineRule="atLeast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</w:r>
      <w:r>
        <w:rPr>
          <w:color w:val="30303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                                                    Ірина ЛУК’ЯНЕНКО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</w:t>
      </w:r>
      <w:r>
        <w:rPr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pBdr/>
      <w:spacing/>
      <w:ind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2                                           </w:t>
    </w:r>
    <w:r>
      <w:rPr>
        <w:i/>
        <w:sz w:val="24"/>
        <w:szCs w:val="24"/>
      </w:rPr>
      <w:t xml:space="preserve">продовження додатка</w:t>
    </w:r>
    <w:r>
      <w:rPr>
        <w:i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6"/>
    <w:next w:val="67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6"/>
    <w:next w:val="67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6"/>
    <w:next w:val="67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6"/>
    <w:next w:val="67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6"/>
    <w:next w:val="67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6"/>
    <w:next w:val="67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6"/>
    <w:next w:val="67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6"/>
    <w:next w:val="67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6"/>
    <w:next w:val="67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6"/>
    <w:next w:val="67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6"/>
    <w:next w:val="67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6"/>
    <w:next w:val="67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6"/>
    <w:next w:val="67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7"/>
    <w:link w:val="683"/>
    <w:uiPriority w:val="99"/>
    <w:pPr>
      <w:pBdr/>
      <w:spacing/>
      <w:ind/>
    </w:pPr>
  </w:style>
  <w:style w:type="character" w:styleId="178">
    <w:name w:val="Footer Char"/>
    <w:basedOn w:val="677"/>
    <w:link w:val="685"/>
    <w:uiPriority w:val="99"/>
    <w:pPr>
      <w:pBdr/>
      <w:spacing/>
      <w:ind/>
    </w:pPr>
  </w:style>
  <w:style w:type="paragraph" w:styleId="179">
    <w:name w:val="Caption"/>
    <w:basedOn w:val="676"/>
    <w:next w:val="6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paragraph" w:styleId="680">
    <w:name w:val="Normal (Web)"/>
    <w:basedOn w:val="676"/>
    <w:semiHidden/>
    <w:unhideWhenUsed/>
    <w:pPr>
      <w:pBdr/>
      <w:spacing w:after="100" w:afterAutospacing="1" w:before="100" w:beforeAutospacing="1"/>
      <w:ind/>
    </w:pPr>
  </w:style>
  <w:style w:type="character" w:styleId="681" w:customStyle="1">
    <w:name w:val="1332"/>
    <w:pPr>
      <w:pBdr/>
      <w:spacing/>
      <w:ind/>
    </w:pPr>
  </w:style>
  <w:style w:type="character" w:styleId="682" w:customStyle="1">
    <w:name w:val="4247"/>
    <w:pPr>
      <w:pBdr/>
      <w:spacing/>
      <w:ind/>
    </w:pPr>
  </w:style>
  <w:style w:type="paragraph" w:styleId="683">
    <w:name w:val="Header"/>
    <w:basedOn w:val="676"/>
    <w:link w:val="684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684" w:customStyle="1">
    <w:name w:val="Верхній колонтитул Знак"/>
    <w:basedOn w:val="677"/>
    <w:link w:val="683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685">
    <w:name w:val="Footer"/>
    <w:basedOn w:val="676"/>
    <w:link w:val="686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686" w:customStyle="1">
    <w:name w:val="Нижній колонтитул Знак"/>
    <w:basedOn w:val="677"/>
    <w:link w:val="68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DCEA-4ABF-49F0-86C8-823C02A6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81</cp:revision>
  <dcterms:created xsi:type="dcterms:W3CDTF">2024-05-29T05:38:00Z</dcterms:created>
  <dcterms:modified xsi:type="dcterms:W3CDTF">2026-07-14T13:36:24Z</dcterms:modified>
</cp:coreProperties>
</file>