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3"/>
        <w:pBdr/>
        <w:spacing/>
        <w:ind w:firstLine="0"/>
        <w:rPr>
          <w:rFonts w:eastAsia="Lucida Sans Unicode" w:cs="Mangal"/>
          <w:b/>
          <w:color w:val="000000" w:themeColor="text1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</w:p>
    <w:p>
      <w:pPr>
        <w:pStyle w:val="713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13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</w:p>
    <w:p>
      <w:pPr>
        <w:pStyle w:val="713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ПРОЕКТ РІШЕННЯ</w:t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14"/>
        <w:pBdr/>
        <w:spacing w:after="0" w:before="0"/>
        <w:ind/>
        <w:rPr/>
      </w:pPr>
      <w:r>
        <w:t xml:space="preserve">2</w:t>
      </w:r>
      <w:r>
        <w:t xml:space="preserve">8 липня</w:t>
      </w:r>
      <w:r>
        <w:t xml:space="preserve"> 202</w:t>
      </w:r>
      <w:r>
        <w:t xml:space="preserve">6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_____</w:t>
      </w:r>
      <w:r/>
    </w:p>
    <w:p>
      <w:pPr>
        <w:pBdr/>
        <w:spacing/>
        <w:ind/>
        <w:rPr>
          <w:lang w:eastAsia="hi-IN" w:bidi="hi-IN"/>
        </w:rPr>
      </w:pPr>
      <w:r>
        <w:rPr>
          <w:lang w:eastAsia="hi-IN" w:bidi="hi-IN"/>
        </w:rPr>
      </w:r>
      <w:r>
        <w:rPr>
          <w:lang w:eastAsia="hi-IN" w:bidi="hi-IN"/>
        </w:rPr>
      </w:r>
    </w:p>
    <w:p>
      <w:pPr>
        <w:pStyle w:val="902"/>
        <w:keepNext w:val="true"/>
        <w:pBdr/>
        <w:spacing w:after="0" w:afterAutospacing="0" w:before="0" w:beforeAutospacing="0"/>
        <w:ind w:right="5386"/>
        <w:rPr/>
      </w:pPr>
      <w:r>
        <w:rPr>
          <w:b/>
          <w:bCs/>
          <w:color w:val="000000"/>
          <w:sz w:val="28"/>
          <w:szCs w:val="28"/>
        </w:rPr>
        <w:t xml:space="preserve">Про виконання бюджету Менської міської те</w:t>
      </w:r>
      <w:r>
        <w:rPr>
          <w:b/>
          <w:bCs/>
          <w:color w:val="000000"/>
          <w:sz w:val="28"/>
          <w:szCs w:val="28"/>
        </w:rPr>
        <w:t xml:space="preserve">риторіальної громади за 1 </w:t>
      </w:r>
      <w:r>
        <w:rPr>
          <w:b/>
          <w:bCs/>
          <w:color w:val="000000"/>
          <w:sz w:val="28"/>
          <w:szCs w:val="28"/>
        </w:rPr>
        <w:t xml:space="preserve">півріччя</w:t>
      </w:r>
      <w:r>
        <w:rPr>
          <w:b/>
          <w:bCs/>
          <w:color w:val="000000"/>
          <w:sz w:val="28"/>
          <w:szCs w:val="28"/>
        </w:rPr>
        <w:t xml:space="preserve"> 202</w:t>
      </w:r>
      <w:r>
        <w:rPr>
          <w:b/>
          <w:bCs/>
          <w:color w:val="000000"/>
          <w:sz w:val="28"/>
          <w:szCs w:val="28"/>
        </w:rPr>
        <w:t xml:space="preserve">6</w:t>
      </w:r>
      <w:r>
        <w:rPr>
          <w:b/>
          <w:bCs/>
          <w:color w:val="000000"/>
          <w:sz w:val="28"/>
          <w:szCs w:val="28"/>
        </w:rPr>
        <w:t xml:space="preserve"> року</w:t>
      </w:r>
      <w:r/>
    </w:p>
    <w:p>
      <w:pPr>
        <w:pBdr/>
        <w:spacing/>
        <w:ind/>
        <w:rPr/>
      </w:pPr>
      <w:r/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8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Заслухавши звіт начальника Фінансового управління Менської міської ради </w:t>
      </w:r>
      <w:r>
        <w:rPr>
          <w:szCs w:val="28"/>
          <w:lang w:eastAsia="uk-UA"/>
        </w:rPr>
        <w:t xml:space="preserve">Нерослик</w:t>
      </w:r>
      <w:r>
        <w:rPr>
          <w:szCs w:val="28"/>
          <w:lang w:eastAsia="uk-UA"/>
        </w:rPr>
        <w:t xml:space="preserve"> А.П. про виконання бюджету Менської міської те</w:t>
      </w:r>
      <w:r>
        <w:rPr>
          <w:szCs w:val="28"/>
          <w:lang w:eastAsia="uk-UA"/>
        </w:rPr>
        <w:t xml:space="preserve">риторіальної громади за 1 </w:t>
      </w:r>
      <w:r>
        <w:rPr>
          <w:szCs w:val="28"/>
          <w:lang w:eastAsia="uk-UA"/>
        </w:rPr>
        <w:t xml:space="preserve">півріччя</w:t>
      </w:r>
      <w:r>
        <w:rPr>
          <w:szCs w:val="28"/>
          <w:lang w:eastAsia="uk-UA"/>
        </w:rPr>
        <w:t xml:space="preserve"> 202</w:t>
      </w:r>
      <w:r>
        <w:rPr>
          <w:szCs w:val="28"/>
          <w:lang w:eastAsia="uk-UA"/>
        </w:rPr>
        <w:t xml:space="preserve">6</w:t>
      </w:r>
      <w:r>
        <w:rPr>
          <w:szCs w:val="28"/>
          <w:lang w:eastAsia="uk-UA"/>
        </w:rPr>
        <w:t xml:space="preserve"> року</w:t>
      </w:r>
      <w:r>
        <w:rPr>
          <w:szCs w:val="28"/>
          <w:lang w:eastAsia="uk-UA"/>
        </w:rPr>
        <w:t xml:space="preserve">, у відповідності з вимогами п.4 ст.80 Бюджетного кодексу України, керуючись ст. 28, 52 Закону України «Про місцеве самоврядування в Україні», виконавчий комітет Менської міської ради    </w:t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0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ВИРІШИВ :</w:t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8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1. Прийняти до відома звіт про виконання бюджету Менської міської територіальної громади за </w:t>
      </w:r>
      <w:r>
        <w:rPr>
          <w:szCs w:val="28"/>
          <w:lang w:eastAsia="uk-UA"/>
        </w:rPr>
        <w:t xml:space="preserve">1 </w:t>
      </w:r>
      <w:r>
        <w:rPr>
          <w:szCs w:val="28"/>
          <w:lang w:eastAsia="uk-UA"/>
        </w:rPr>
        <w:t xml:space="preserve">півріччя</w:t>
      </w:r>
      <w:r>
        <w:rPr>
          <w:szCs w:val="28"/>
          <w:lang w:eastAsia="uk-UA"/>
        </w:rPr>
        <w:t xml:space="preserve"> 202</w:t>
      </w:r>
      <w:r>
        <w:rPr>
          <w:szCs w:val="28"/>
          <w:lang w:eastAsia="uk-UA"/>
        </w:rPr>
        <w:t xml:space="preserve">6</w:t>
      </w:r>
      <w:r>
        <w:rPr>
          <w:szCs w:val="28"/>
          <w:lang w:eastAsia="uk-UA"/>
        </w:rPr>
        <w:t xml:space="preserve"> року</w:t>
      </w:r>
      <w:r>
        <w:rPr>
          <w:szCs w:val="28"/>
          <w:lang w:eastAsia="uk-UA"/>
        </w:rPr>
        <w:t xml:space="preserve">:</w:t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- по доходах в сумі </w:t>
      </w:r>
      <w:r>
        <w:rPr>
          <w:szCs w:val="28"/>
          <w:lang w:eastAsia="uk-UA"/>
        </w:rPr>
        <w:t xml:space="preserve">314340510,61</w:t>
      </w:r>
      <w:r>
        <w:rPr>
          <w:szCs w:val="28"/>
          <w:lang w:eastAsia="uk-UA"/>
        </w:rPr>
        <w:t xml:space="preserve"> грн., в тому числі по доходах загального фонду бюджету в сумі </w:t>
      </w:r>
      <w:r>
        <w:rPr>
          <w:szCs w:val="28"/>
          <w:lang w:eastAsia="uk-UA"/>
        </w:rPr>
        <w:t xml:space="preserve">297774250,37</w:t>
      </w:r>
      <w:r>
        <w:rPr>
          <w:szCs w:val="28"/>
          <w:lang w:eastAsia="uk-UA"/>
        </w:rPr>
        <w:t xml:space="preserve"> грн. та по доходах спеціального фонду бюджету в сумі </w:t>
      </w:r>
      <w:r>
        <w:rPr>
          <w:szCs w:val="28"/>
          <w:lang w:eastAsia="uk-UA"/>
        </w:rPr>
        <w:t xml:space="preserve">16566260,24</w:t>
      </w:r>
      <w:r>
        <w:rPr>
          <w:szCs w:val="28"/>
          <w:lang w:eastAsia="uk-UA"/>
        </w:rPr>
        <w:t xml:space="preserve"> грн. згідно додатку 1 до даного рішення (додається);</w:t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- по видатках в сумі </w:t>
      </w:r>
      <w:r>
        <w:rPr>
          <w:szCs w:val="28"/>
          <w:lang w:eastAsia="uk-UA"/>
        </w:rPr>
        <w:t xml:space="preserve">254151447,94</w:t>
      </w:r>
      <w:r>
        <w:rPr>
          <w:szCs w:val="28"/>
          <w:lang w:eastAsia="uk-UA"/>
        </w:rPr>
        <w:t xml:space="preserve"> грн., в тому числі по видатках загального фонду бюджету в сумі </w:t>
      </w:r>
      <w:r>
        <w:rPr>
          <w:szCs w:val="28"/>
          <w:lang w:eastAsia="uk-UA"/>
        </w:rPr>
        <w:t xml:space="preserve">208824178,68</w:t>
      </w:r>
      <w:r>
        <w:rPr>
          <w:szCs w:val="28"/>
          <w:lang w:eastAsia="uk-UA"/>
        </w:rPr>
        <w:t xml:space="preserve"> грн. та по видатках спеціального фонду бюджету в сумі </w:t>
      </w:r>
      <w:r>
        <w:rPr>
          <w:szCs w:val="28"/>
          <w:lang w:eastAsia="uk-UA"/>
        </w:rPr>
        <w:t xml:space="preserve">45327269,26</w:t>
      </w:r>
      <w:r>
        <w:rPr>
          <w:szCs w:val="28"/>
          <w:lang w:eastAsia="uk-UA"/>
        </w:rPr>
        <w:t xml:space="preserve"> 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- по поверненню кредитів до мі</w:t>
      </w:r>
      <w:r>
        <w:rPr>
          <w:szCs w:val="28"/>
          <w:lang w:eastAsia="uk-UA"/>
        </w:rPr>
        <w:t xml:space="preserve">сцевого бюджету в сумі </w:t>
      </w:r>
      <w:r>
        <w:rPr>
          <w:szCs w:val="28"/>
          <w:lang w:eastAsia="uk-UA"/>
        </w:rPr>
        <w:t xml:space="preserve">44345,04</w:t>
      </w:r>
      <w:r>
        <w:rPr>
          <w:szCs w:val="28"/>
          <w:lang w:eastAsia="uk-UA"/>
        </w:rPr>
        <w:t xml:space="preserve"> грн., в тому числі повернення кредитів до спеціального фон</w:t>
      </w:r>
      <w:r>
        <w:rPr>
          <w:szCs w:val="28"/>
          <w:lang w:eastAsia="uk-UA"/>
        </w:rPr>
        <w:t xml:space="preserve">ду місцевого бюджету – </w:t>
      </w:r>
      <w:r>
        <w:rPr>
          <w:szCs w:val="28"/>
          <w:lang w:eastAsia="uk-UA"/>
        </w:rPr>
        <w:t xml:space="preserve">44345,04</w:t>
      </w:r>
      <w:r>
        <w:rPr>
          <w:szCs w:val="28"/>
          <w:lang w:eastAsia="uk-UA"/>
        </w:rPr>
        <w:t xml:space="preserve"> 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highlight w:val="none"/>
          <w:lang w:eastAsia="uk-UA"/>
        </w:rPr>
      </w:pPr>
      <w:r>
        <w:rPr>
          <w:szCs w:val="28"/>
          <w:lang w:eastAsia="uk-UA"/>
        </w:rPr>
        <w:t xml:space="preserve">- по наданню кредитів з місцевого бюджету у сумі 0,00 грн., у тому числі надання кредитів із спеціального фонду місцевого бюджету – 0,00 грн. згідно додатку 2 до даного рішення (додається);</w:t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профіцит за загальним фондом місцевого бюджету у сумі – 88950071,69 грн. згідно з додатком 2 до даного рішення;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дефіцит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спеціальним фондом місцевого бюджету у сумі – 28716663,98 грн. згідно з додатком 2 до даного рішення;</w:t>
      </w:r>
      <w:r/>
      <w:r>
        <w:rPr>
          <w:szCs w:val="28"/>
          <w:highlight w:val="none"/>
          <w:lang w:eastAsia="uk-UA"/>
        </w:rPr>
      </w:r>
      <w:r>
        <w:rPr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- по виконанню місцевих/регіональних пр</w:t>
      </w:r>
      <w:r>
        <w:rPr>
          <w:szCs w:val="28"/>
          <w:lang w:eastAsia="uk-UA"/>
        </w:rPr>
        <w:t xml:space="preserve">ограм бюджету в сумі </w:t>
      </w:r>
      <w:r>
        <w:rPr>
          <w:szCs w:val="28"/>
          <w:lang w:eastAsia="uk-UA"/>
        </w:rPr>
        <w:t xml:space="preserve">27374882,69</w:t>
      </w:r>
      <w:r>
        <w:rPr>
          <w:szCs w:val="28"/>
          <w:lang w:eastAsia="uk-UA"/>
        </w:rPr>
        <w:t xml:space="preserve"> грн., в тому числі по заг</w:t>
      </w:r>
      <w:r>
        <w:rPr>
          <w:szCs w:val="28"/>
          <w:lang w:eastAsia="uk-UA"/>
        </w:rPr>
        <w:t xml:space="preserve">альному фонду в сумі </w:t>
      </w:r>
      <w:r>
        <w:rPr>
          <w:szCs w:val="28"/>
          <w:lang w:eastAsia="uk-UA"/>
        </w:rPr>
        <w:t xml:space="preserve">27115183,58</w:t>
      </w:r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t xml:space="preserve">грн. та по спец</w:t>
      </w:r>
      <w:r>
        <w:rPr>
          <w:szCs w:val="28"/>
          <w:lang w:eastAsia="uk-UA"/>
        </w:rPr>
        <w:t xml:space="preserve">іальному фонду в сумі </w:t>
      </w:r>
      <w:r>
        <w:rPr>
          <w:szCs w:val="28"/>
          <w:lang w:eastAsia="uk-UA"/>
        </w:rPr>
        <w:t xml:space="preserve">259699,11</w:t>
      </w:r>
      <w:r>
        <w:rPr>
          <w:szCs w:val="28"/>
          <w:lang w:eastAsia="uk-UA"/>
        </w:rPr>
        <w:t xml:space="preserve"> грн. згідно додатку 3 до даного рішення (додається).</w:t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8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Додатки №1, 2, 3 до цього рішення є його невід’ємною частиною.</w:t>
      </w:r>
      <w:r>
        <w:rPr>
          <w:color w:val="auto"/>
          <w:sz w:val="24"/>
          <w:szCs w:val="24"/>
          <w:lang w:eastAsia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right="-1" w:firstLine="709"/>
        <w:rPr>
          <w:color w:val="auto"/>
          <w:sz w:val="24"/>
          <w:szCs w:val="24"/>
          <w:lang w:eastAsia="uk-UA"/>
        </w:rPr>
      </w:pPr>
      <w:r>
        <w:rPr>
          <w:szCs w:val="28"/>
          <w:lang w:eastAsia="uk-UA"/>
        </w:rPr>
        <w:t xml:space="preserve">2. Винести на розгляд сесії Менської міської ради звіт про виконання бюджету Менської міської територіальної громади за </w:t>
      </w:r>
      <w:r>
        <w:rPr>
          <w:szCs w:val="28"/>
          <w:lang w:eastAsia="uk-UA"/>
        </w:rPr>
        <w:t xml:space="preserve">1 </w:t>
      </w:r>
      <w:r>
        <w:rPr>
          <w:szCs w:val="28"/>
          <w:lang w:eastAsia="uk-UA"/>
        </w:rPr>
        <w:t xml:space="preserve">півріччя</w:t>
      </w:r>
      <w:r>
        <w:rPr>
          <w:szCs w:val="28"/>
          <w:lang w:eastAsia="uk-UA"/>
        </w:rPr>
        <w:t xml:space="preserve"> 202</w:t>
      </w:r>
      <w:r>
        <w:rPr>
          <w:szCs w:val="28"/>
          <w:lang w:eastAsia="uk-UA"/>
        </w:rPr>
        <w:t xml:space="preserve">6</w:t>
      </w:r>
      <w:r>
        <w:rPr>
          <w:szCs w:val="28"/>
          <w:lang w:eastAsia="uk-UA"/>
        </w:rPr>
        <w:t xml:space="preserve"> року</w:t>
      </w:r>
      <w:r>
        <w:rPr>
          <w:szCs w:val="28"/>
          <w:lang w:eastAsia="uk-UA"/>
        </w:rPr>
        <w:t xml:space="preserve">. </w:t>
      </w:r>
      <w:r>
        <w:rPr>
          <w:color w:val="auto"/>
          <w:sz w:val="24"/>
          <w:szCs w:val="24"/>
          <w:lang w:eastAsia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22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2"/>
    <w:link w:val="7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2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2"/>
    <w:link w:val="71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2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2"/>
    <w:link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2"/>
    <w:link w:val="71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2"/>
    <w:link w:val="7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2"/>
    <w:link w:val="7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2"/>
    <w:link w:val="7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22"/>
    <w:link w:val="7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22"/>
    <w:link w:val="752"/>
    <w:uiPriority w:val="99"/>
    <w:pPr>
      <w:pBdr/>
      <w:spacing/>
      <w:ind/>
    </w:pPr>
  </w:style>
  <w:style w:type="character" w:styleId="181">
    <w:name w:val="Footnote Text Char"/>
    <w:basedOn w:val="722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22"/>
    <w:link w:val="888"/>
    <w:uiPriority w:val="99"/>
    <w:semiHidden/>
    <w:pPr>
      <w:pBdr/>
      <w:spacing/>
      <w:ind/>
    </w:pPr>
    <w:rPr>
      <w:sz w:val="20"/>
      <w:szCs w:val="20"/>
    </w:rPr>
  </w:style>
  <w:style w:type="paragraph" w:styleId="71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13">
    <w:name w:val="Heading 1"/>
    <w:basedOn w:val="712"/>
    <w:next w:val="712"/>
    <w:link w:val="733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14">
    <w:name w:val="Heading 2"/>
    <w:basedOn w:val="712"/>
    <w:next w:val="712"/>
    <w:link w:val="734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15">
    <w:name w:val="Heading 3"/>
    <w:basedOn w:val="712"/>
    <w:next w:val="712"/>
    <w:link w:val="735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16">
    <w:name w:val="Heading 4"/>
    <w:basedOn w:val="712"/>
    <w:next w:val="712"/>
    <w:link w:val="736"/>
    <w:uiPriority w:val="9"/>
    <w:unhideWhenUsed/>
    <w:qFormat/>
    <w:pPr>
      <w:pBdr/>
      <w:spacing/>
      <w:ind w:firstLine="0"/>
      <w:outlineLvl w:val="3"/>
    </w:pPr>
  </w:style>
  <w:style w:type="paragraph" w:styleId="717">
    <w:name w:val="Heading 5"/>
    <w:basedOn w:val="712"/>
    <w:next w:val="712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712"/>
    <w:next w:val="712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19">
    <w:name w:val="Heading 7"/>
    <w:basedOn w:val="712"/>
    <w:next w:val="712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0">
    <w:name w:val="Heading 8"/>
    <w:basedOn w:val="712"/>
    <w:next w:val="712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1">
    <w:name w:val="Heading 9"/>
    <w:basedOn w:val="712"/>
    <w:next w:val="712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default="1">
    <w:name w:val="Default Paragraph Font"/>
    <w:uiPriority w:val="1"/>
    <w:semiHidden/>
    <w:unhideWhenUsed/>
    <w:pPr>
      <w:pBdr/>
      <w:spacing/>
      <w:ind/>
    </w:pPr>
  </w:style>
  <w:style w:type="table" w:styleId="72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4" w:default="1">
    <w:name w:val="No List"/>
    <w:uiPriority w:val="99"/>
    <w:semiHidden/>
    <w:unhideWhenUsed/>
    <w:pPr>
      <w:pBdr/>
      <w:spacing/>
      <w:ind/>
    </w:pPr>
  </w:style>
  <w:style w:type="character" w:styleId="725">
    <w:name w:val="Intense Emphasis"/>
    <w:basedOn w:val="72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6">
    <w:name w:val="Intense Reference"/>
    <w:basedOn w:val="72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27">
    <w:name w:val="Subtle Emphasis"/>
    <w:basedOn w:val="72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22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22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2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2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2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3" w:customStyle="1">
    <w:name w:val="Заголовок 1 Знак"/>
    <w:link w:val="713"/>
    <w:uiPriority w:val="9"/>
    <w:pPr>
      <w:pBdr/>
      <w:spacing/>
      <w:ind/>
    </w:pPr>
  </w:style>
  <w:style w:type="character" w:styleId="734" w:customStyle="1">
    <w:name w:val="Заголовок 2 Знак"/>
    <w:link w:val="714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5" w:customStyle="1">
    <w:name w:val="Заголовок 3 Знак"/>
    <w:link w:val="71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 w:customStyle="1">
    <w:name w:val="Заголовок 4 Знак"/>
    <w:link w:val="716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37" w:customStyle="1">
    <w:name w:val="Заголовок 5 Знак"/>
    <w:basedOn w:val="722"/>
    <w:link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22"/>
    <w:link w:val="71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22"/>
    <w:link w:val="7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22"/>
    <w:link w:val="72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22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12"/>
    <w:uiPriority w:val="34"/>
    <w:qFormat/>
    <w:pPr>
      <w:pBdr/>
      <w:spacing/>
      <w:ind w:left="720"/>
      <w:contextualSpacing w:val="true"/>
    </w:pPr>
  </w:style>
  <w:style w:type="paragraph" w:styleId="743">
    <w:name w:val="No Spacing"/>
    <w:basedOn w:val="712"/>
    <w:uiPriority w:val="1"/>
    <w:qFormat/>
    <w:pPr>
      <w:pBdr/>
      <w:spacing w:after="227" w:before="113"/>
      <w:ind w:right="5528" w:firstLine="0"/>
    </w:pPr>
    <w:rPr>
      <w:b/>
    </w:rPr>
  </w:style>
  <w:style w:type="paragraph" w:styleId="744">
    <w:name w:val="Title"/>
    <w:basedOn w:val="712"/>
    <w:next w:val="712"/>
    <w:link w:val="74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5" w:customStyle="1">
    <w:name w:val="Назва Знак"/>
    <w:basedOn w:val="722"/>
    <w:link w:val="744"/>
    <w:uiPriority w:val="10"/>
    <w:pPr>
      <w:pBdr/>
      <w:spacing/>
      <w:ind/>
    </w:pPr>
    <w:rPr>
      <w:sz w:val="48"/>
      <w:szCs w:val="48"/>
    </w:rPr>
  </w:style>
  <w:style w:type="paragraph" w:styleId="746">
    <w:name w:val="Subtitle"/>
    <w:basedOn w:val="712"/>
    <w:next w:val="712"/>
    <w:link w:val="74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7" w:customStyle="1">
    <w:name w:val="Підзаголовок Знак"/>
    <w:basedOn w:val="722"/>
    <w:link w:val="746"/>
    <w:uiPriority w:val="11"/>
    <w:pPr>
      <w:pBdr/>
      <w:spacing/>
      <w:ind/>
    </w:pPr>
    <w:rPr>
      <w:sz w:val="24"/>
      <w:szCs w:val="24"/>
    </w:rPr>
  </w:style>
  <w:style w:type="paragraph" w:styleId="748">
    <w:name w:val="Quote"/>
    <w:basedOn w:val="712"/>
    <w:next w:val="712"/>
    <w:link w:val="749"/>
    <w:uiPriority w:val="29"/>
    <w:qFormat/>
    <w:pPr>
      <w:pBdr/>
      <w:spacing/>
      <w:ind w:right="720" w:left="720"/>
    </w:pPr>
    <w:rPr>
      <w:i/>
    </w:rPr>
  </w:style>
  <w:style w:type="character" w:styleId="749" w:customStyle="1">
    <w:name w:val="Цитата Знак"/>
    <w:link w:val="748"/>
    <w:uiPriority w:val="29"/>
    <w:pPr>
      <w:pBdr/>
      <w:spacing/>
      <w:ind/>
    </w:pPr>
    <w:rPr>
      <w:i/>
    </w:rPr>
  </w:style>
  <w:style w:type="paragraph" w:styleId="750">
    <w:name w:val="Intense Quote"/>
    <w:basedOn w:val="712"/>
    <w:next w:val="712"/>
    <w:link w:val="75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1" w:customStyle="1">
    <w:name w:val="Насичена цитата Знак"/>
    <w:link w:val="750"/>
    <w:uiPriority w:val="30"/>
    <w:pPr>
      <w:pBdr/>
      <w:spacing/>
      <w:ind/>
    </w:pPr>
    <w:rPr>
      <w:i/>
    </w:rPr>
  </w:style>
  <w:style w:type="paragraph" w:styleId="752">
    <w:name w:val="Header"/>
    <w:basedOn w:val="712"/>
    <w:link w:val="75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3" w:customStyle="1">
    <w:name w:val="Верхній колонтитул Знак"/>
    <w:basedOn w:val="722"/>
    <w:link w:val="752"/>
    <w:uiPriority w:val="99"/>
    <w:pPr>
      <w:pBdr/>
      <w:spacing/>
      <w:ind/>
    </w:pPr>
  </w:style>
  <w:style w:type="paragraph" w:styleId="754">
    <w:name w:val="Footer"/>
    <w:basedOn w:val="712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5" w:customStyle="1">
    <w:name w:val="Footer Char"/>
    <w:basedOn w:val="722"/>
    <w:uiPriority w:val="99"/>
    <w:pPr>
      <w:pBdr/>
      <w:spacing/>
      <w:ind/>
    </w:pPr>
  </w:style>
  <w:style w:type="paragraph" w:styleId="756">
    <w:name w:val="Caption"/>
    <w:basedOn w:val="712"/>
    <w:next w:val="71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7" w:customStyle="1">
    <w:name w:val="Нижній колонтитул Знак"/>
    <w:link w:val="754"/>
    <w:uiPriority w:val="99"/>
    <w:pPr>
      <w:pBdr/>
      <w:spacing/>
      <w:ind/>
    </w:pPr>
  </w:style>
  <w:style w:type="table" w:styleId="758">
    <w:name w:val="Table Grid"/>
    <w:basedOn w:val="72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Table Grid Light"/>
    <w:basedOn w:val="7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1"/>
    <w:basedOn w:val="72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2"/>
    <w:basedOn w:val="72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1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2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3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4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5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6"/>
    <w:basedOn w:val="72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1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2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3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4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5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6"/>
    <w:basedOn w:val="723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1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2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3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4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5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6"/>
    <w:basedOn w:val="72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5">
    <w:name w:val="footnote text"/>
    <w:basedOn w:val="712"/>
    <w:link w:val="886"/>
    <w:uiPriority w:val="99"/>
    <w:semiHidden/>
    <w:unhideWhenUsed/>
    <w:pPr>
      <w:pBdr/>
      <w:spacing w:after="40"/>
      <w:ind/>
    </w:pPr>
    <w:rPr>
      <w:sz w:val="18"/>
    </w:rPr>
  </w:style>
  <w:style w:type="character" w:styleId="886" w:customStyle="1">
    <w:name w:val="Текст виноски Знак"/>
    <w:link w:val="885"/>
    <w:uiPriority w:val="99"/>
    <w:pPr>
      <w:pBdr/>
      <w:spacing/>
      <w:ind/>
    </w:pPr>
    <w:rPr>
      <w:sz w:val="18"/>
    </w:rPr>
  </w:style>
  <w:style w:type="character" w:styleId="887">
    <w:name w:val="footnote reference"/>
    <w:basedOn w:val="722"/>
    <w:uiPriority w:val="99"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712"/>
    <w:link w:val="889"/>
    <w:uiPriority w:val="99"/>
    <w:semiHidden/>
    <w:unhideWhenUsed/>
    <w:pPr>
      <w:pBdr/>
      <w:spacing/>
      <w:ind/>
    </w:pPr>
    <w:rPr>
      <w:sz w:val="20"/>
    </w:rPr>
  </w:style>
  <w:style w:type="character" w:styleId="889" w:customStyle="1">
    <w:name w:val="Текст кінцевої виноски Знак"/>
    <w:link w:val="888"/>
    <w:uiPriority w:val="99"/>
    <w:pPr>
      <w:pBdr/>
      <w:spacing/>
      <w:ind/>
    </w:pPr>
    <w:rPr>
      <w:sz w:val="20"/>
    </w:rPr>
  </w:style>
  <w:style w:type="character" w:styleId="890">
    <w:name w:val="endnote reference"/>
    <w:basedOn w:val="722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toc 1"/>
    <w:basedOn w:val="712"/>
    <w:next w:val="712"/>
    <w:uiPriority w:val="39"/>
    <w:unhideWhenUsed/>
    <w:pPr>
      <w:pBdr/>
      <w:spacing w:after="57"/>
      <w:ind w:firstLine="0"/>
    </w:pPr>
  </w:style>
  <w:style w:type="paragraph" w:styleId="892">
    <w:name w:val="toc 2"/>
    <w:basedOn w:val="712"/>
    <w:next w:val="712"/>
    <w:uiPriority w:val="39"/>
    <w:unhideWhenUsed/>
    <w:pPr>
      <w:pBdr/>
      <w:spacing w:after="57"/>
      <w:ind w:firstLine="0" w:left="283"/>
    </w:pPr>
  </w:style>
  <w:style w:type="paragraph" w:styleId="893">
    <w:name w:val="toc 3"/>
    <w:basedOn w:val="712"/>
    <w:next w:val="712"/>
    <w:uiPriority w:val="39"/>
    <w:unhideWhenUsed/>
    <w:pPr>
      <w:pBdr/>
      <w:spacing w:after="57"/>
      <w:ind w:firstLine="0" w:left="567"/>
    </w:pPr>
  </w:style>
  <w:style w:type="paragraph" w:styleId="894">
    <w:name w:val="toc 4"/>
    <w:basedOn w:val="712"/>
    <w:next w:val="712"/>
    <w:uiPriority w:val="39"/>
    <w:unhideWhenUsed/>
    <w:pPr>
      <w:pBdr/>
      <w:spacing w:after="57"/>
      <w:ind w:firstLine="0" w:left="850"/>
    </w:pPr>
  </w:style>
  <w:style w:type="paragraph" w:styleId="895">
    <w:name w:val="toc 5"/>
    <w:basedOn w:val="712"/>
    <w:next w:val="712"/>
    <w:uiPriority w:val="39"/>
    <w:unhideWhenUsed/>
    <w:pPr>
      <w:pBdr/>
      <w:spacing w:after="57"/>
      <w:ind w:firstLine="0" w:left="1134"/>
    </w:pPr>
  </w:style>
  <w:style w:type="paragraph" w:styleId="896">
    <w:name w:val="toc 6"/>
    <w:basedOn w:val="712"/>
    <w:next w:val="712"/>
    <w:uiPriority w:val="39"/>
    <w:unhideWhenUsed/>
    <w:pPr>
      <w:pBdr/>
      <w:spacing w:after="57"/>
      <w:ind w:firstLine="0" w:left="1417"/>
    </w:pPr>
  </w:style>
  <w:style w:type="paragraph" w:styleId="897">
    <w:name w:val="toc 7"/>
    <w:basedOn w:val="712"/>
    <w:next w:val="712"/>
    <w:uiPriority w:val="39"/>
    <w:unhideWhenUsed/>
    <w:pPr>
      <w:pBdr/>
      <w:spacing w:after="57"/>
      <w:ind w:firstLine="0" w:left="1701"/>
    </w:pPr>
  </w:style>
  <w:style w:type="paragraph" w:styleId="898">
    <w:name w:val="toc 8"/>
    <w:basedOn w:val="712"/>
    <w:next w:val="712"/>
    <w:uiPriority w:val="39"/>
    <w:unhideWhenUsed/>
    <w:pPr>
      <w:pBdr/>
      <w:spacing w:after="57"/>
      <w:ind w:firstLine="0" w:left="1984"/>
    </w:pPr>
  </w:style>
  <w:style w:type="paragraph" w:styleId="899">
    <w:name w:val="toc 9"/>
    <w:basedOn w:val="712"/>
    <w:next w:val="712"/>
    <w:uiPriority w:val="39"/>
    <w:unhideWhenUsed/>
    <w:pPr>
      <w:pBdr/>
      <w:spacing w:after="57"/>
      <w:ind w:firstLine="0" w:left="2268"/>
    </w:pPr>
  </w:style>
  <w:style w:type="paragraph" w:styleId="900">
    <w:name w:val="TOC Heading"/>
    <w:uiPriority w:val="39"/>
    <w:unhideWhenUsed/>
    <w:pPr>
      <w:pBdr/>
      <w:spacing/>
      <w:ind/>
    </w:pPr>
  </w:style>
  <w:style w:type="paragraph" w:styleId="901">
    <w:name w:val="table of figures"/>
    <w:basedOn w:val="712"/>
    <w:next w:val="712"/>
    <w:uiPriority w:val="99"/>
    <w:unhideWhenUsed/>
    <w:pPr>
      <w:pBdr/>
      <w:spacing/>
      <w:ind/>
    </w:pPr>
  </w:style>
  <w:style w:type="paragraph" w:styleId="902" w:customStyle="1">
    <w:name w:val="docdata"/>
    <w:basedOn w:val="712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  <w:style w:type="paragraph" w:styleId="903">
    <w:name w:val="Normal (Web)"/>
    <w:basedOn w:val="712"/>
    <w:uiPriority w:val="99"/>
    <w:semiHidden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Кужекіна Юлія Сергіївна</cp:lastModifiedBy>
  <cp:revision>28</cp:revision>
  <dcterms:created xsi:type="dcterms:W3CDTF">2025-02-11T07:37:00Z</dcterms:created>
  <dcterms:modified xsi:type="dcterms:W3CDTF">2026-07-15T12:02:13Z</dcterms:modified>
</cp:coreProperties>
</file>