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/>
      <w:bookmarkStart w:id="0" w:name="_Hlk82156911"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7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7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</w:p>
    <w:p>
      <w:pPr>
        <w:pStyle w:val="927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/>
      <w:bookmarkStart w:id="2" w:name="_Hlk198038883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сімдесят п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’ята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ПРОЄКТ  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after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липня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м. Мена                                 № 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bookmarkEnd w:id="0"/>
      <w:r/>
      <w:bookmarkEnd w:id="2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3"/>
        <w:pBdr/>
        <w:spacing w:after="0" w:afterAutospacing="0" w:before="0" w:beforeAutospacing="0" w:line="240" w:lineRule="auto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b/>
          <w:bCs/>
          <w:color w:val="000000"/>
          <w:sz w:val="28"/>
          <w:szCs w:val="28"/>
        </w:rPr>
        <w:t xml:space="preserve">Переліків </w:t>
      </w:r>
      <w:r>
        <w:rPr>
          <w:b/>
          <w:bCs/>
          <w:color w:val="000000"/>
          <w:sz w:val="28"/>
          <w:szCs w:val="28"/>
        </w:rPr>
        <w:t xml:space="preserve">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, </w:t>
      </w:r>
      <w:bookmarkStart w:id="3" w:name="_Hlk213835416"/>
      <w:r>
        <w:rPr>
          <w:b/>
          <w:bCs/>
          <w:color w:val="000000"/>
          <w:sz w:val="28"/>
          <w:szCs w:val="28"/>
        </w:rPr>
        <w:t xml:space="preserve">його віддалені робочі місця та </w:t>
      </w:r>
      <w:r>
        <w:rPr>
          <w:b/>
          <w:bCs/>
          <w:color w:val="000000"/>
          <w:sz w:val="28"/>
          <w:szCs w:val="28"/>
        </w:rPr>
        <w:t xml:space="preserve">пересувн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віддален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z w:val="28"/>
          <w:szCs w:val="28"/>
        </w:rPr>
        <w:t xml:space="preserve">відділ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 «Центр надання адміністративних послуг»</w:t>
      </w:r>
      <w:bookmarkEnd w:id="3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3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commentRangeStart w:id="0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yellow"/>
          <w:lang w:eastAsia="uk-UA"/>
        </w:rPr>
      </w:r>
      <w:commentRangeStart w:id="1"/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yellow"/>
          <w:lang w:eastAsia="uk-UA"/>
        </w:rPr>
        <w:t xml:space="preserve">статті 27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Закону України “Про місцеве самоврядування в Україні”</w:t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КМУ від 1 жовтня 2025 р. № 1226 «Деякі питання надання адміністративних послуг через центри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</w:t>
      </w:r>
      <w:bookmarkStart w:id="4" w:name="_Hlk219387800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ів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адміністративних послуг, які надаються через відділ “Центр надання адміністративних послуг”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його віддалені робочі місця та пересувні віддалені робочі місця відділу «Центр надання адміністративних послуг»</w:t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затверджених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рішенням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9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року №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664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Переліків адміністративних послуг, які надаються через відділ “Центр надання адміністративних послуг” Менської міської ради,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доповнивши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Витяги та довідки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адміністративними послугами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pBdr/>
        <w:tabs>
          <w:tab w:val="left" w:leader="none" w:pos="0"/>
        </w:tabs>
        <w:spacing w:after="0" w:afterAutospacing="0" w:line="240" w:lineRule="auto"/>
        <w:ind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15.13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Бронювання коштів за житловими сертифікатами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(ідентифікатор послуги 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pBdr/>
        <w:tabs>
          <w:tab w:val="left" w:leader="none" w:pos="0"/>
        </w:tabs>
        <w:spacing w:after="0" w:afterAutospacing="0" w:line="240" w:lineRule="auto"/>
        <w:ind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15.14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Заява про отримання виплати на відновлення житла для тих, хто постраждав від збройної агресії росії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(ідентифікатор послуги 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дділу документування та забезпечення діяльності апарату ради оприлюднити  дане рішення на офіційному веб-сайті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bookmarkStart w:id="5" w:name="_Hlk198038938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керуючого справами вико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навчого комітету Менської міської ради Л.О. Стародуб.</w:t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b w:val="0"/>
          <w:bCs w:val="0"/>
        </w:rPr>
      </w:r>
      <w:bookmarkStart w:id="6" w:name="_Hlk198038947"/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СТАЛЬНИЧЕНКО</w:t>
      </w:r>
      <w:bookmarkEnd w:id="6"/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6-07-21T19:39:19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можливо вірніше зазначити п. 15 ч. 1 ст. 26 ЗУ «Про місцеве самоврядування в Україні» та стаття 9 Закону України «Про адміністративні послуги»</w:t>
      </w:r>
    </w:p>
  </w:comment>
  <w:comment w:id="1" w:author="СТАЛЬНИЧЕНКО Юрій Валерійович" w:date="2026-07-21T19:38:14Z" w:initials="СЮ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це повноваження виконавчих органів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BAE490" w16cex:dateUtc="2026-07-21T16:39:19Z"/>
  <w16cex:commentExtensible w16cex:durableId="4FB18E87" w16cex:dateUtc="2026-07-21T16:38: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BAE490"/>
  <w16cid:commentId w16cid:paraId="00000002" w16cid:durableId="4FB18E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9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2"/>
    <w:basedOn w:val="903"/>
    <w:next w:val="903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03"/>
    <w:next w:val="903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03"/>
    <w:next w:val="903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03"/>
    <w:next w:val="903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03"/>
    <w:next w:val="903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03"/>
    <w:next w:val="903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03"/>
    <w:next w:val="903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03"/>
    <w:next w:val="903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1 Char"/>
    <w:basedOn w:val="905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0">
    <w:name w:val="Heading 2 Char"/>
    <w:basedOn w:val="905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1">
    <w:name w:val="Heading 3 Char"/>
    <w:basedOn w:val="905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2">
    <w:name w:val="Heading 4 Char"/>
    <w:basedOn w:val="90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3">
    <w:name w:val="Heading 5 Char"/>
    <w:basedOn w:val="905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4">
    <w:name w:val="Heading 6 Char"/>
    <w:basedOn w:val="905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>
    <w:name w:val="Heading 7 Char"/>
    <w:basedOn w:val="905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>
    <w:name w:val="Heading 8 Char"/>
    <w:basedOn w:val="905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Heading 9 Char"/>
    <w:basedOn w:val="905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903"/>
    <w:next w:val="903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>
    <w:name w:val="Title Char"/>
    <w:basedOn w:val="905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903"/>
    <w:next w:val="903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>
    <w:name w:val="Subtitle Char"/>
    <w:basedOn w:val="905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03"/>
    <w:next w:val="903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905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03"/>
    <w:next w:val="903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905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8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05"/>
    <w:link w:val="929"/>
    <w:uiPriority w:val="99"/>
    <w:pPr>
      <w:pBdr/>
      <w:spacing/>
      <w:ind/>
    </w:pPr>
  </w:style>
  <w:style w:type="character" w:styleId="892">
    <w:name w:val="Footer Char"/>
    <w:basedOn w:val="905"/>
    <w:link w:val="931"/>
    <w:uiPriority w:val="99"/>
    <w:pPr>
      <w:pBdr/>
      <w:spacing/>
      <w:ind/>
    </w:pPr>
  </w:style>
  <w:style w:type="paragraph" w:styleId="893">
    <w:name w:val="Caption"/>
    <w:basedOn w:val="903"/>
    <w:next w:val="9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3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3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/>
      <w:ind/>
    </w:pPr>
  </w:style>
  <w:style w:type="paragraph" w:styleId="904">
    <w:name w:val="Heading 1"/>
    <w:basedOn w:val="903"/>
    <w:link w:val="91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Normal (Web)"/>
    <w:basedOn w:val="90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9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910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911">
    <w:name w:val="Hyperlink"/>
    <w:basedOn w:val="905"/>
    <w:uiPriority w:val="99"/>
    <w:unhideWhenUsed/>
    <w:pPr>
      <w:pBdr/>
      <w:spacing/>
      <w:ind/>
    </w:pPr>
    <w:rPr>
      <w:color w:val="0000ff"/>
      <w:u w:val="single"/>
    </w:rPr>
  </w:style>
  <w:style w:type="character" w:styleId="912" w:customStyle="1">
    <w:name w:val="Заголовок 1 Знак"/>
    <w:basedOn w:val="905"/>
    <w:link w:val="90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3" w:customStyle="1">
    <w:name w:val="docdata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4">
    <w:name w:val="List Paragraph"/>
    <w:basedOn w:val="903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5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6" w:customStyle="1">
    <w:name w:val="Титулка"/>
    <w:basedOn w:val="90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7" w:customStyle="1">
    <w:name w:val="rvps17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64"/>
    <w:basedOn w:val="905"/>
    <w:pPr>
      <w:pBdr/>
      <w:spacing/>
      <w:ind/>
    </w:pPr>
  </w:style>
  <w:style w:type="paragraph" w:styleId="919" w:customStyle="1">
    <w:name w:val="rvps7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9"/>
    <w:basedOn w:val="905"/>
    <w:pPr>
      <w:pBdr/>
      <w:spacing/>
      <w:ind/>
    </w:pPr>
  </w:style>
  <w:style w:type="paragraph" w:styleId="921" w:customStyle="1">
    <w:name w:val="rvps6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2" w:customStyle="1">
    <w:name w:val="rvts23"/>
    <w:basedOn w:val="905"/>
    <w:pPr>
      <w:pBdr/>
      <w:spacing/>
      <w:ind/>
    </w:pPr>
  </w:style>
  <w:style w:type="paragraph" w:styleId="923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4" w:customStyle="1">
    <w:name w:val="rvps2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5" w:customStyle="1">
    <w:name w:val="rvts46"/>
    <w:basedOn w:val="905"/>
    <w:pPr>
      <w:pBdr/>
      <w:spacing/>
      <w:ind/>
    </w:pPr>
  </w:style>
  <w:style w:type="character" w:styleId="926" w:customStyle="1">
    <w:name w:val="rvts37"/>
    <w:basedOn w:val="905"/>
    <w:pPr>
      <w:pBdr/>
      <w:spacing/>
      <w:ind/>
    </w:pPr>
  </w:style>
  <w:style w:type="paragraph" w:styleId="927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8">
    <w:name w:val="Unresolved Mention"/>
    <w:basedOn w:val="90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9">
    <w:name w:val="Header"/>
    <w:basedOn w:val="903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Верхній колонтитул Знак"/>
    <w:basedOn w:val="905"/>
    <w:link w:val="929"/>
    <w:uiPriority w:val="99"/>
    <w:pPr>
      <w:pBdr/>
      <w:spacing/>
      <w:ind/>
    </w:pPr>
  </w:style>
  <w:style w:type="paragraph" w:styleId="931">
    <w:name w:val="Footer"/>
    <w:basedOn w:val="903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905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2026-07-07T11:04:00Z</dcterms:created>
  <dcterms:modified xsi:type="dcterms:W3CDTF">2026-07-21T16:39:20Z</dcterms:modified>
</cp:coreProperties>
</file>