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28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28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28" w:lineRule="auto"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03"/>
        <w:widowControl w:val="false"/>
        <w:pBdr/>
        <w:spacing w:after="0" w:line="228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28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28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30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червня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м. Мена</w:t>
        <w:tab/>
        <w:t xml:space="preserve">№ 119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 w:right="5103" w:firstLine="0"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взяття на квартирний облік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дитини, 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озбавлен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ої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батьківського піклування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tabs>
          <w:tab w:val="left" w:leader="none" w:pos="4140"/>
        </w:tabs>
        <w:spacing w:after="0" w:line="228" w:lineRule="auto"/>
        <w:ind w:right="5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Розглянувши заяву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Петренко Аліни Федорівни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додані до неї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документи про вз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яття на квартирний облік, так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що потребує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поліпшення житлов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умов, враховуючи, що заявни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має статус дитини,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позбавлен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тьківського піклування, не має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житла на правах прив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ної власності, дійсно потребує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поліпшення житлових умов, керуючись ст.ст. 39, 46 Житлового кодексу України, Правилами обліку громадян, які потребують поліпшення житлових умов, і надання їм жилих приміщень в Українській РСР від 11 грудня 1984 року зі змінами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доповненнями,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постановою Кабінету Міністрів України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від 24 вересня 2008 року № 866 «Питання діяльності органів опіки та піклування, пов’язаної із захистом прав дитини»,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Законом України «Про охорону дитинства», Законом України «Про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України «Про місцеве самоврядування в Україні», виконавчий комітет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ВИРІШИВ: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pBdr/>
        <w:spacing w:after="0" w:line="228" w:lineRule="auto"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Взяти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 червня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квартирний облік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 одержання житла поза чергою,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Петренко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ліну Федорівну,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оку народження,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дитину, позбавлену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батьківського піклування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уроджен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Покровське, Корюківського району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рнігівської області,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як тако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що потребує поліпшення житлових умов, з включенням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списку осіб для позачергового одержання житла.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09"/>
          <w:rFonts w:ascii="Times New Roman" w:hAnsi="Times New Roman" w:eastAsia="Times New Roman" w:cs="Times New Roman"/>
          <w:sz w:val="28"/>
          <w:szCs w:val="28"/>
        </w:rPr>
        <w:t xml:space="preserve">2. Рішення набирає чинності </w:t>
      </w:r>
      <w:r>
        <w:rPr>
          <w:rStyle w:val="909"/>
          <w:rFonts w:ascii="Times New Roman" w:hAnsi="Times New Roman" w:eastAsia="Times New Roman" w:cs="Times New Roman"/>
          <w:sz w:val="28"/>
          <w:szCs w:val="28"/>
        </w:rPr>
        <w:t xml:space="preserve">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Петренко Аліни Федорівни </w:t>
      </w:r>
      <w:r>
        <w:rPr>
          <w:rStyle w:val="909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установленому порядку до відома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Петренко Аліни Федорівни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піклувальника,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Петренко Оксани Миколаївни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В.В.Прищепу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tabs>
          <w:tab w:val="clear" w:leader="none" w:pos="709"/>
          <w:tab w:val="left" w:leader="none" w:pos="6520"/>
        </w:tabs>
        <w:spacing w:after="0"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28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line="228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paragraph" w:styleId="908" w:customStyle="1">
    <w:name w:val="Абзац списка"/>
    <w:next w:val="862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nil"/>
      <w:bidi w:val="false"/>
      <w:spacing w:after="160" w:afterAutospacing="0" w:before="0" w:beforeAutospacing="0" w:line="256" w:lineRule="auto"/>
      <w:ind w:right="0" w:firstLine="0" w:left="720"/>
      <w:contextualSpacing w:val="tru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uk-UA" w:eastAsia="en-US" w:bidi="ar-SA"/>
      <w14:ligatures w14:val="none"/>
    </w:rPr>
  </w:style>
  <w:style w:type="character" w:styleId="909" w:customStyle="1">
    <w:name w:val="docdata,docy,v5,1995,bqiaagaaeyqcaaagiaiaaapebaaabeweaaaaaaaaaaaaaaaaaaaaaaaaaaaaaaaaaaaaaaaaaaaaaaaaaaaaaaaaaaaaaaaaaaaaaaaaaaaaaaaaaaaaaaaaaaaaaaaaaaaaaaaaaaaaaaaaaaaaaaaaaaaaaaaaaaaaaaaaaaaaaaaaaaaaaaaaaaaaaaaaaaaaaaaaaaaaaaaaaaaaaaaaaaaaaaaaaaaaaaaa"/>
    <w:next w:val="86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2026-07-03T06:51:43Z</dcterms:modified>
</cp:coreProperties>
</file>