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0"/>
        <w:jc w:val="left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21"/>
        <w:pBdr/>
        <w:spacing/>
        <w:ind w:firstLine="0"/>
        <w:rPr>
          <w:color w:val="000000"/>
        </w:rPr>
      </w:pPr>
      <w:r>
        <w:t xml:space="preserve">МЕНСЬКА МІСЬКА РАДА</w:t>
      </w:r>
      <w:r>
        <w:rPr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ПРОЄКТ 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22"/>
        <w:pBdr/>
        <w:spacing/>
        <w:ind/>
        <w:rPr>
          <w:color w:val="000000"/>
        </w:rPr>
      </w:pPr>
      <w:r>
        <w:rPr>
          <w:lang w:val="en-US"/>
        </w:rPr>
        <w:t xml:space="preserve">30</w:t>
      </w:r>
      <w:r>
        <w:t xml:space="preserve"> </w:t>
      </w:r>
      <w:r>
        <w:t xml:space="preserve">червня</w:t>
      </w:r>
      <w:r>
        <w:t xml:space="preserve"> 202</w:t>
      </w:r>
      <w:r>
        <w:t xml:space="preserve">6</w:t>
      </w:r>
      <w:r>
        <w:t xml:space="preserve"> року</w:t>
      </w:r>
      <w:r>
        <w:tab/>
        <w:t xml:space="preserve">м. Мена</w:t>
      </w:r>
      <w:r>
        <w:tab/>
      </w:r>
      <w:r>
        <w:t xml:space="preserve"> № </w:t>
      </w:r>
      <w:r>
        <w:rPr>
          <w:color w:val="000000"/>
        </w:rPr>
      </w:r>
    </w:p>
    <w:p>
      <w:pPr>
        <w:pBdr/>
        <w:spacing/>
        <w:ind w:firstLine="0"/>
        <w:rPr/>
      </w:pPr>
      <w:r>
        <w:rPr>
          <w:b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/>
    </w:p>
    <w:p>
      <w:pPr>
        <w:pBdr/>
        <w:tabs>
          <w:tab w:val="left" w:leader="none" w:pos="851"/>
        </w:tabs>
        <w:spacing/>
        <w:ind w:firstLine="0"/>
        <w:rPr/>
      </w:pPr>
      <w:r/>
      <w:r/>
    </w:p>
    <w:p>
      <w:pPr>
        <w:pBdr/>
        <w:tabs>
          <w:tab w:val="left" w:leader="none" w:pos="851"/>
        </w:tabs>
        <w:spacing/>
        <w:ind w:firstLine="0"/>
        <w:rPr>
          <w:szCs w:val="28"/>
        </w:rPr>
      </w:pPr>
      <w:r>
        <w:tab/>
        <w:t xml:space="preserve">Відповідно до п</w:t>
      </w:r>
      <w:r>
        <w:rPr>
          <w:highlight w:val="white"/>
        </w:rPr>
        <w:t xml:space="preserve">останови Кабінетів Міністрів України № 381 від 21.04.2023 «Про затвердження Порядку надання компенсації для відн</w:t>
      </w:r>
      <w:r>
        <w:rPr>
          <w:highlight w:val="white"/>
        </w:rPr>
        <w:t xml:space="preserve">овлення окремих категорій об’єктів нерухомого майна, пошкодженого в наслідок бойових дій, терористичних актів, диверсій, спричинених збройною агресією Російської Федерації, з використання електронної публічної послуги «єВідновлення», розглянувши звернення </w:t>
      </w:r>
      <w:r>
        <w:t xml:space="preserve">Півень Алли Пилипівни</w:t>
      </w:r>
      <w:r>
        <w:rPr>
          <w:highlight w:val="white"/>
        </w:rPr>
        <w:t xml:space="preserve"> </w:t>
      </w:r>
      <w:r>
        <w:rPr>
          <w:highlight w:val="white"/>
        </w:rPr>
        <w:t xml:space="preserve"> т</w:t>
      </w:r>
      <w:r>
        <w:rPr>
          <w:highlight w:val="white"/>
        </w:rPr>
        <w:t xml:space="preserve">а враховуючи акт комісійного огляду об’єкта пошкодженого внаслідок збройної агресії російської федерації від </w:t>
      </w:r>
      <w:r>
        <w:rPr>
          <w:highlight w:val="white"/>
        </w:rPr>
        <w:t xml:space="preserve">1</w:t>
      </w:r>
      <w:r>
        <w:rPr>
          <w:highlight w:val="white"/>
        </w:rPr>
        <w:t xml:space="preserve">5</w:t>
      </w:r>
      <w:r>
        <w:rPr>
          <w:highlight w:val="white"/>
        </w:rPr>
        <w:t xml:space="preserve">.</w:t>
      </w:r>
      <w:r>
        <w:rPr>
          <w:highlight w:val="white"/>
        </w:rPr>
        <w:t xml:space="preserve">0</w:t>
      </w:r>
      <w:r>
        <w:rPr>
          <w:highlight w:val="white"/>
        </w:rPr>
        <w:t xml:space="preserve">6</w:t>
      </w:r>
      <w:r>
        <w:rPr>
          <w:highlight w:val="white"/>
        </w:rPr>
        <w:t xml:space="preserve">.202</w:t>
      </w:r>
      <w:r>
        <w:rPr>
          <w:highlight w:val="white"/>
        </w:rPr>
        <w:t xml:space="preserve">6</w:t>
      </w:r>
      <w:r>
        <w:rPr>
          <w:highlight w:val="white"/>
        </w:rPr>
        <w:t xml:space="preserve">, протокол засідання </w:t>
      </w:r>
      <w:r>
        <w:rPr>
          <w:szCs w:val="28"/>
          <w:lang w:eastAsia="uk-UA" w:bidi="uk-UA"/>
        </w:rPr>
        <w:t xml:space="preserve">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t xml:space="preserve"> від </w:t>
      </w:r>
      <w:r>
        <w:t xml:space="preserve">25</w:t>
      </w:r>
      <w:r>
        <w:t xml:space="preserve">.</w:t>
      </w:r>
      <w:r>
        <w:t xml:space="preserve">0</w:t>
      </w:r>
      <w:r>
        <w:t xml:space="preserve">6</w:t>
      </w:r>
      <w:r>
        <w:t xml:space="preserve">.202</w:t>
      </w:r>
      <w:r>
        <w:t xml:space="preserve">6</w:t>
      </w:r>
      <w:r>
        <w:t xml:space="preserve">, </w:t>
      </w:r>
      <w:r>
        <w:rPr>
          <w:highlight w:val="white"/>
        </w:rPr>
        <w:t xml:space="preserve">рішення №</w:t>
      </w:r>
      <w:r>
        <w:rPr>
          <w:highlight w:val="white"/>
        </w:rPr>
        <w:t xml:space="preserve">6</w:t>
      </w:r>
      <w:r>
        <w:rPr>
          <w:highlight w:val="white"/>
        </w:rPr>
        <w:t xml:space="preserve"> від </w:t>
      </w:r>
      <w:r>
        <w:rPr>
          <w:highlight w:val="white"/>
        </w:rPr>
        <w:t xml:space="preserve">2</w:t>
      </w:r>
      <w:r>
        <w:rPr>
          <w:highlight w:val="white"/>
        </w:rPr>
        <w:t xml:space="preserve">5</w:t>
      </w:r>
      <w:r>
        <w:rPr>
          <w:highlight w:val="white"/>
        </w:rPr>
        <w:t xml:space="preserve">.</w:t>
      </w:r>
      <w:r>
        <w:rPr>
          <w:highlight w:val="white"/>
        </w:rPr>
        <w:t xml:space="preserve">0</w:t>
      </w:r>
      <w:r>
        <w:rPr>
          <w:highlight w:val="white"/>
        </w:rPr>
        <w:t xml:space="preserve">6</w:t>
      </w:r>
      <w:r>
        <w:rPr>
          <w:highlight w:val="white"/>
        </w:rPr>
        <w:t xml:space="preserve">.202</w:t>
      </w:r>
      <w:r>
        <w:rPr>
          <w:highlight w:val="white"/>
        </w:rPr>
        <w:t xml:space="preserve">6</w:t>
      </w:r>
      <w:r>
        <w:rPr>
          <w:highlight w:val="white"/>
        </w:rPr>
        <w:t xml:space="preserve">  Комісії з розгляду питань щодо надання компенсації за пошкоджені об’єкти нерухомого</w:t>
      </w:r>
      <w:r>
        <w:rPr>
          <w:highlight w:val="white"/>
        </w:rPr>
        <w:t xml:space="preserve"> майна внаслідок бойових дій, терористичних актів, диверсій, спричинених збройною агресією російської федерації проти України створеної рішенням виконавчого комітету Менської міської ради від 31 липня 2023 року № 213 зі змінами від 28 серпня 2025 року №168</w:t>
      </w:r>
      <w:r>
        <w:rPr>
          <w:highlight w:val="white"/>
        </w:rPr>
        <w:t xml:space="preserve">, </w:t>
      </w:r>
      <w:r>
        <w:rPr>
          <w:highlight w:val="white"/>
        </w:rPr>
        <w:t xml:space="preserve">від 17 грудня 2025 року №266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highlight w:val="white"/>
        </w:rPr>
        <w:t xml:space="preserve">від 22 квітня 2026 року №62 </w:t>
      </w:r>
      <w:r>
        <w:rPr>
          <w:highlight w:val="white"/>
        </w:rPr>
        <w:t xml:space="preserve">виконавчий комітет Менської  міської ради</w:t>
      </w:r>
      <w:r>
        <w:rPr>
          <w:szCs w:val="28"/>
        </w:rPr>
      </w:r>
    </w:p>
    <w:p>
      <w:pPr>
        <w:pBdr/>
        <w:tabs>
          <w:tab w:val="left" w:leader="none" w:pos="851"/>
        </w:tabs>
        <w:spacing/>
        <w:ind w:firstLine="0"/>
        <w:rPr/>
      </w:pPr>
      <w:r>
        <w:rPr>
          <w:highlight w:val="white"/>
        </w:rPr>
        <w:t xml:space="preserve">ВИРІШИВ: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1. Затвердити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України:</w:t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  <w:t xml:space="preserve">1.1. </w:t>
      </w:r>
      <w:r>
        <w:rPr>
          <w:color w:val="auto"/>
          <w:szCs w:val="28"/>
          <w:lang w:eastAsia="ru-RU"/>
        </w:rPr>
        <w:t xml:space="preserve">Про надання компенсації </w:t>
      </w:r>
      <w:bookmarkStart w:id="0" w:name="_Hlk233282050"/>
      <w:r>
        <w:rPr>
          <w:color w:val="auto"/>
          <w:szCs w:val="28"/>
          <w:lang w:eastAsia="ru-RU"/>
        </w:rPr>
        <w:t xml:space="preserve">Півень Алл</w:t>
      </w:r>
      <w:r>
        <w:rPr>
          <w:color w:val="auto"/>
          <w:szCs w:val="28"/>
          <w:lang w:eastAsia="ru-RU"/>
        </w:rPr>
        <w:t xml:space="preserve">і</w:t>
      </w:r>
      <w:r>
        <w:rPr>
          <w:color w:val="auto"/>
          <w:szCs w:val="28"/>
          <w:lang w:eastAsia="ru-RU"/>
        </w:rPr>
        <w:t xml:space="preserve"> Пилипівн</w:t>
      </w:r>
      <w:r>
        <w:rPr>
          <w:color w:val="auto"/>
          <w:szCs w:val="28"/>
          <w:lang w:eastAsia="ru-RU"/>
        </w:rPr>
        <w:t xml:space="preserve">і</w:t>
      </w:r>
      <w:bookmarkEnd w:id="0"/>
      <w:r>
        <w:rPr>
          <w:color w:val="auto"/>
          <w:szCs w:val="28"/>
          <w:lang w:eastAsia="ru-RU"/>
        </w:rPr>
        <w:t xml:space="preserve">, на проведення ремонту </w:t>
      </w:r>
      <w:r>
        <w:rPr>
          <w:color w:val="auto"/>
          <w:szCs w:val="28"/>
          <w:lang w:eastAsia="ru-RU"/>
        </w:rPr>
        <w:t xml:space="preserve">квартири</w:t>
      </w:r>
      <w:r>
        <w:rPr>
          <w:color w:val="auto"/>
          <w:szCs w:val="28"/>
          <w:lang w:eastAsia="ru-RU"/>
        </w:rPr>
        <w:t xml:space="preserve">, пошкоджено</w:t>
      </w:r>
      <w:r>
        <w:rPr>
          <w:color w:val="auto"/>
          <w:szCs w:val="28"/>
          <w:lang w:eastAsia="ru-RU"/>
        </w:rPr>
        <w:t xml:space="preserve">ї</w:t>
      </w:r>
      <w:r>
        <w:rPr>
          <w:color w:val="auto"/>
          <w:szCs w:val="28"/>
          <w:lang w:eastAsia="ru-RU"/>
        </w:rPr>
        <w:t xml:space="preserve"> внаслідок бойових дій в  м. Мена, </w:t>
      </w:r>
      <w:r>
        <w:rPr>
          <w:color w:val="auto"/>
          <w:szCs w:val="28"/>
          <w:lang w:eastAsia="ru-RU"/>
        </w:rPr>
        <w:t xml:space="preserve">про</w:t>
      </w:r>
      <w:r>
        <w:rPr>
          <w:color w:val="auto"/>
          <w:szCs w:val="28"/>
          <w:lang w:eastAsia="ru-RU"/>
        </w:rPr>
        <w:t xml:space="preserve">в. </w:t>
      </w:r>
      <w:r>
        <w:rPr>
          <w:color w:val="auto"/>
          <w:szCs w:val="28"/>
          <w:lang w:eastAsia="ru-RU"/>
        </w:rPr>
        <w:t xml:space="preserve">Вокзальний 2-й</w:t>
      </w:r>
      <w:r>
        <w:rPr>
          <w:color w:val="auto"/>
          <w:szCs w:val="28"/>
          <w:lang w:eastAsia="ru-RU"/>
        </w:rPr>
        <w:t xml:space="preserve">, буд.</w:t>
      </w:r>
      <w:r>
        <w:rPr>
          <w:color w:val="auto"/>
          <w:szCs w:val="28"/>
          <w:lang w:eastAsia="ru-RU"/>
        </w:rPr>
        <w:t xml:space="preserve">7, кв.2</w:t>
      </w:r>
      <w:r>
        <w:rPr>
          <w:color w:val="auto"/>
          <w:szCs w:val="28"/>
          <w:lang w:eastAsia="ru-RU"/>
        </w:rPr>
        <w:t xml:space="preserve"> (рішення № </w:t>
      </w:r>
      <w:r>
        <w:rPr>
          <w:color w:val="auto"/>
          <w:szCs w:val="28"/>
          <w:lang w:eastAsia="ru-RU"/>
        </w:rPr>
        <w:t xml:space="preserve">6</w:t>
      </w:r>
      <w:r>
        <w:rPr>
          <w:color w:val="auto"/>
          <w:szCs w:val="28"/>
          <w:lang w:eastAsia="ru-RU"/>
        </w:rPr>
        <w:t xml:space="preserve"> від </w:t>
      </w:r>
      <w:r>
        <w:rPr>
          <w:color w:val="auto"/>
          <w:szCs w:val="28"/>
          <w:lang w:eastAsia="ru-RU"/>
        </w:rPr>
        <w:t xml:space="preserve">25</w:t>
      </w:r>
      <w:r>
        <w:rPr>
          <w:color w:val="auto"/>
          <w:szCs w:val="28"/>
          <w:lang w:eastAsia="ru-RU"/>
        </w:rPr>
        <w:t xml:space="preserve"> червня 2026 року, що додається). </w:t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/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</w:r>
      <w:r>
        <w:t xml:space="preserve">2. Рішення набуває чинності стосовно </w:t>
      </w:r>
      <w:bookmarkStart w:id="1" w:name="_Hlk233282091"/>
      <w:r>
        <w:rPr>
          <w:color w:val="auto"/>
          <w:szCs w:val="28"/>
          <w:lang w:eastAsia="ru-RU"/>
        </w:rPr>
        <w:t xml:space="preserve">Півень Алл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Пилипівн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</w:t>
      </w:r>
      <w:bookmarkEnd w:id="1"/>
      <w:r>
        <w:t xml:space="preserve">з дня доведення до відома </w:t>
      </w:r>
      <w:bookmarkStart w:id="2" w:name="_Hlk232172293"/>
      <w:r>
        <w:rPr>
          <w:color w:val="auto"/>
          <w:szCs w:val="28"/>
          <w:lang w:eastAsia="ru-RU"/>
        </w:rPr>
        <w:t xml:space="preserve">Півень Алл</w:t>
      </w:r>
      <w:r>
        <w:rPr>
          <w:color w:val="auto"/>
          <w:szCs w:val="28"/>
          <w:lang w:eastAsia="ru-RU"/>
        </w:rPr>
        <w:t xml:space="preserve">и Пилипівн</w:t>
      </w:r>
      <w:r>
        <w:rPr>
          <w:color w:val="auto"/>
          <w:szCs w:val="28"/>
          <w:lang w:eastAsia="ru-RU"/>
        </w:rPr>
        <w:t xml:space="preserve">и</w:t>
      </w:r>
      <w:r>
        <w:t xml:space="preserve"> </w:t>
      </w:r>
      <w:bookmarkEnd w:id="2"/>
      <w:r>
        <w:t xml:space="preserve">в установленому законом порядку.</w:t>
      </w:r>
      <w:r/>
    </w:p>
    <w:p>
      <w:pPr>
        <w:pBdr/>
        <w:spacing/>
        <w:ind w:hanging="11"/>
        <w:rPr>
          <w:szCs w:val="28"/>
        </w:rPr>
      </w:pPr>
      <w:r>
        <w:tab/>
      </w:r>
      <w:r>
        <w:tab/>
        <w:t xml:space="preserve">3. Дане рішення може бути оскаржено в адміністративному порядку протягом 30 днів з дня його доведення до відома  </w:t>
      </w:r>
      <w:r>
        <w:rPr>
          <w:color w:val="auto"/>
          <w:szCs w:val="28"/>
          <w:lang w:eastAsia="ru-RU"/>
        </w:rPr>
        <w:t xml:space="preserve">Півень Алл</w:t>
      </w:r>
      <w:r>
        <w:rPr>
          <w:color w:val="auto"/>
          <w:szCs w:val="28"/>
          <w:lang w:eastAsia="ru-RU"/>
        </w:rPr>
        <w:t xml:space="preserve">и</w:t>
      </w:r>
      <w:r>
        <w:rPr>
          <w:color w:val="auto"/>
          <w:szCs w:val="28"/>
          <w:lang w:eastAsia="ru-RU"/>
        </w:rPr>
        <w:t xml:space="preserve"> Пилипівни</w:t>
      </w:r>
      <w:r>
        <w:rPr>
          <w:color w:val="auto"/>
          <w:szCs w:val="28"/>
          <w:lang w:eastAsia="ru-RU"/>
        </w:rPr>
        <w:t xml:space="preserve"> </w:t>
      </w:r>
      <w:r>
        <w:t xml:space="preserve">шляхом подання скарги до Менської міської ради за адресою: Чернігівська область, Корюківський район, місто Мена, вулиця Героїв АТО, № 6. </w:t>
      </w:r>
      <w:r>
        <w:rPr>
          <w:szCs w:val="28"/>
        </w:rPr>
      </w:r>
    </w:p>
    <w:p>
      <w:pPr>
        <w:pBdr/>
        <w:spacing/>
        <w:ind w:firstLine="709"/>
        <w:rPr/>
      </w:pPr>
      <w:r>
        <w:t xml:space="preserve">4. Дане рішення може бути оскаржено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№23, протягом шести місяців з дня доведення до відома </w:t>
      </w:r>
      <w:r>
        <w:rPr>
          <w:color w:val="auto"/>
          <w:szCs w:val="28"/>
          <w:lang w:eastAsia="ru-RU"/>
        </w:rPr>
        <w:t xml:space="preserve">Півень Алли Пилипівни</w:t>
      </w:r>
      <w:r>
        <w:t xml:space="preserve">.</w:t>
      </w:r>
      <w:r/>
    </w:p>
    <w:p>
      <w:pPr>
        <w:pBdr/>
        <w:spacing/>
        <w:ind w:firstLine="0"/>
        <w:rPr/>
      </w:pPr>
      <w:r>
        <w:tab/>
        <w:t xml:space="preserve">5. Контроль за виконанням даного рішення </w:t>
      </w:r>
      <w:r>
        <w:t xml:space="preserve">залишаю за собою.</w:t>
      </w:r>
      <w:bookmarkStart w:id="3" w:name="_GoBack"/>
      <w:r/>
      <w:bookmarkEnd w:id="3"/>
      <w:r/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803"/>
        </w:tabs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704090202050204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9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0"/>
    <w:link w:val="7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0"/>
    <w:link w:val="7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0"/>
    <w:link w:val="7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0"/>
    <w:link w:val="7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0"/>
    <w:link w:val="760"/>
    <w:uiPriority w:val="99"/>
    <w:pPr>
      <w:pBdr/>
      <w:spacing/>
      <w:ind/>
    </w:pPr>
  </w:style>
  <w:style w:type="character" w:styleId="181">
    <w:name w:val="Footnote Text Char"/>
    <w:basedOn w:val="73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0"/>
    <w:link w:val="896"/>
    <w:uiPriority w:val="99"/>
    <w:semiHidden/>
    <w:pPr>
      <w:pBdr/>
      <w:spacing/>
      <w:ind/>
    </w:pPr>
    <w:rPr>
      <w:sz w:val="20"/>
      <w:szCs w:val="20"/>
    </w:rPr>
  </w:style>
  <w:style w:type="paragraph" w:styleId="72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1">
    <w:name w:val="Heading 1"/>
    <w:basedOn w:val="720"/>
    <w:next w:val="720"/>
    <w:link w:val="741"/>
    <w:uiPriority w:val="9"/>
    <w:qFormat/>
    <w:pPr>
      <w:widowControl w:val="false"/>
      <w:pBdr/>
      <w:spacing/>
      <w:ind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2">
    <w:name w:val="Heading 2"/>
    <w:basedOn w:val="720"/>
    <w:next w:val="720"/>
    <w:link w:val="742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3">
    <w:name w:val="Heading 3"/>
    <w:basedOn w:val="720"/>
    <w:next w:val="720"/>
    <w:link w:val="743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4">
    <w:name w:val="Heading 4"/>
    <w:basedOn w:val="720"/>
    <w:next w:val="720"/>
    <w:link w:val="744"/>
    <w:uiPriority w:val="9"/>
    <w:unhideWhenUsed/>
    <w:qFormat/>
    <w:pPr>
      <w:pBdr/>
      <w:spacing/>
      <w:ind w:firstLine="0"/>
      <w:outlineLvl w:val="3"/>
    </w:pPr>
  </w:style>
  <w:style w:type="paragraph" w:styleId="725">
    <w:name w:val="Heading 5"/>
    <w:basedOn w:val="720"/>
    <w:next w:val="720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7">
    <w:name w:val="Heading 7"/>
    <w:basedOn w:val="720"/>
    <w:next w:val="720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8">
    <w:name w:val="Heading 8"/>
    <w:basedOn w:val="720"/>
    <w:next w:val="720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9">
    <w:name w:val="Heading 9"/>
    <w:basedOn w:val="720"/>
    <w:next w:val="720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>
    <w:name w:val="Intense Emphasis"/>
    <w:basedOn w:val="73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4">
    <w:name w:val="Intense Reference"/>
    <w:basedOn w:val="73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5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0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1" w:customStyle="1">
    <w:name w:val="Заголовок 1 Знак"/>
    <w:link w:val="72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42" w:customStyle="1">
    <w:name w:val="Заголовок 2 Знак"/>
    <w:link w:val="72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43" w:customStyle="1">
    <w:name w:val="Заголовок 3 Знак"/>
    <w:link w:val="72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4" w:customStyle="1">
    <w:name w:val="Заголовок 4 Знак"/>
    <w:link w:val="724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45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0"/>
    <w:uiPriority w:val="34"/>
    <w:qFormat/>
    <w:pPr>
      <w:pBdr/>
      <w:spacing/>
      <w:ind w:left="720"/>
      <w:contextualSpacing w:val="true"/>
    </w:pPr>
  </w:style>
  <w:style w:type="paragraph" w:styleId="751">
    <w:name w:val="No Spacing"/>
    <w:basedOn w:val="720"/>
    <w:uiPriority w:val="1"/>
    <w:qFormat/>
    <w:pPr>
      <w:pBdr/>
      <w:spacing w:after="227" w:before="113"/>
      <w:ind w:right="5528" w:firstLine="0"/>
    </w:pPr>
    <w:rPr>
      <w:b/>
    </w:rPr>
  </w:style>
  <w:style w:type="paragraph" w:styleId="752">
    <w:name w:val="Title"/>
    <w:basedOn w:val="720"/>
    <w:next w:val="720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3" w:customStyle="1">
    <w:name w:val="Заголовок Знак"/>
    <w:basedOn w:val="730"/>
    <w:link w:val="752"/>
    <w:uiPriority w:val="10"/>
    <w:pPr>
      <w:pBdr/>
      <w:spacing/>
      <w:ind/>
    </w:pPr>
    <w:rPr>
      <w:sz w:val="48"/>
      <w:szCs w:val="48"/>
    </w:rPr>
  </w:style>
  <w:style w:type="paragraph" w:styleId="754">
    <w:name w:val="Subtitle"/>
    <w:basedOn w:val="720"/>
    <w:next w:val="720"/>
    <w:link w:val="75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5" w:customStyle="1">
    <w:name w:val="Подзаголовок Знак"/>
    <w:basedOn w:val="730"/>
    <w:link w:val="754"/>
    <w:uiPriority w:val="11"/>
    <w:pPr>
      <w:pBdr/>
      <w:spacing/>
      <w:ind/>
    </w:pPr>
    <w:rPr>
      <w:sz w:val="24"/>
      <w:szCs w:val="24"/>
    </w:rPr>
  </w:style>
  <w:style w:type="paragraph" w:styleId="756">
    <w:name w:val="Quote"/>
    <w:basedOn w:val="720"/>
    <w:next w:val="720"/>
    <w:link w:val="757"/>
    <w:uiPriority w:val="29"/>
    <w:qFormat/>
    <w:pPr>
      <w:pBdr/>
      <w:spacing/>
      <w:ind w:right="720" w:left="720"/>
    </w:pPr>
    <w:rPr>
      <w:i/>
    </w:rPr>
  </w:style>
  <w:style w:type="character" w:styleId="757" w:customStyle="1">
    <w:name w:val="Цитата 2 Знак"/>
    <w:link w:val="756"/>
    <w:uiPriority w:val="29"/>
    <w:pPr>
      <w:pBdr/>
      <w:spacing/>
      <w:ind/>
    </w:pPr>
    <w:rPr>
      <w:i/>
    </w:rPr>
  </w:style>
  <w:style w:type="paragraph" w:styleId="758">
    <w:name w:val="Intense Quote"/>
    <w:basedOn w:val="720"/>
    <w:next w:val="720"/>
    <w:link w:val="7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9" w:customStyle="1">
    <w:name w:val="Выделенная цитата Знак"/>
    <w:link w:val="758"/>
    <w:uiPriority w:val="30"/>
    <w:pPr>
      <w:pBdr/>
      <w:spacing/>
      <w:ind/>
    </w:pPr>
    <w:rPr>
      <w:i/>
    </w:rPr>
  </w:style>
  <w:style w:type="paragraph" w:styleId="760">
    <w:name w:val="Header"/>
    <w:basedOn w:val="720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Верхний колонтитул Знак"/>
    <w:basedOn w:val="730"/>
    <w:link w:val="760"/>
    <w:uiPriority w:val="99"/>
    <w:pPr>
      <w:pBdr/>
      <w:spacing/>
      <w:ind/>
    </w:pPr>
  </w:style>
  <w:style w:type="paragraph" w:styleId="762">
    <w:name w:val="Footer"/>
    <w:basedOn w:val="720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3" w:customStyle="1">
    <w:name w:val="Footer Char"/>
    <w:basedOn w:val="730"/>
    <w:uiPriority w:val="99"/>
    <w:pPr>
      <w:pBdr/>
      <w:spacing/>
      <w:ind/>
    </w:pPr>
  </w:style>
  <w:style w:type="paragraph" w:styleId="764">
    <w:name w:val="Caption"/>
    <w:basedOn w:val="720"/>
    <w:next w:val="7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5" w:customStyle="1">
    <w:name w:val="Нижний колонтитул Знак"/>
    <w:link w:val="762"/>
    <w:uiPriority w:val="99"/>
    <w:pPr>
      <w:pBdr/>
      <w:spacing/>
      <w:ind/>
    </w:pPr>
  </w:style>
  <w:style w:type="table" w:styleId="766">
    <w:name w:val="Table Grid"/>
    <w:basedOn w:val="7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Table Grid Light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а простая 11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а простая 21"/>
    <w:basedOn w:val="7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а простая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а простая 4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5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-сетка 1 светл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2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а-сетка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-сетка 4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а-сетка 5 тем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-сетка 6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-сетка 7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Список-таблица 1 светл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Список-таблица 2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писок-таблица 3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-таблица 4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4"/>
    <w:basedOn w:val="731"/>
    <w:link w:val="9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6"/>
    <w:basedOn w:val="731"/>
    <w:link w:val="9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Список-таблица 5 тем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писок-таблица 6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писок-таблица 7 цветная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3">
    <w:name w:val="footnote text"/>
    <w:basedOn w:val="720"/>
    <w:link w:val="894"/>
    <w:uiPriority w:val="99"/>
    <w:semiHidden/>
    <w:unhideWhenUsed/>
    <w:pPr>
      <w:pBdr/>
      <w:spacing w:after="40"/>
      <w:ind/>
    </w:pPr>
    <w:rPr>
      <w:sz w:val="18"/>
    </w:rPr>
  </w:style>
  <w:style w:type="character" w:styleId="894" w:customStyle="1">
    <w:name w:val="Текст сноски Знак"/>
    <w:link w:val="893"/>
    <w:uiPriority w:val="99"/>
    <w:pPr>
      <w:pBdr/>
      <w:spacing/>
      <w:ind/>
    </w:pPr>
    <w:rPr>
      <w:sz w:val="18"/>
    </w:rPr>
  </w:style>
  <w:style w:type="character" w:styleId="895">
    <w:name w:val="footnote reference"/>
    <w:basedOn w:val="730"/>
    <w:uiPriority w:val="99"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720"/>
    <w:link w:val="897"/>
    <w:uiPriority w:val="99"/>
    <w:semiHidden/>
    <w:unhideWhenUsed/>
    <w:pPr>
      <w:pBdr/>
      <w:spacing/>
      <w:ind/>
    </w:pPr>
    <w:rPr>
      <w:sz w:val="20"/>
    </w:rPr>
  </w:style>
  <w:style w:type="character" w:styleId="897" w:customStyle="1">
    <w:name w:val="Текст концевой сноски Знак"/>
    <w:link w:val="896"/>
    <w:uiPriority w:val="99"/>
    <w:pPr>
      <w:pBdr/>
      <w:spacing/>
      <w:ind/>
    </w:pPr>
    <w:rPr>
      <w:sz w:val="20"/>
    </w:rPr>
  </w:style>
  <w:style w:type="character" w:styleId="898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toc 1"/>
    <w:basedOn w:val="720"/>
    <w:next w:val="720"/>
    <w:uiPriority w:val="39"/>
    <w:unhideWhenUsed/>
    <w:pPr>
      <w:pBdr/>
      <w:spacing w:after="57"/>
      <w:ind w:firstLine="0"/>
    </w:pPr>
  </w:style>
  <w:style w:type="paragraph" w:styleId="900">
    <w:name w:val="toc 2"/>
    <w:basedOn w:val="720"/>
    <w:next w:val="720"/>
    <w:uiPriority w:val="39"/>
    <w:unhideWhenUsed/>
    <w:pPr>
      <w:pBdr/>
      <w:spacing w:after="57"/>
      <w:ind w:firstLine="0" w:left="283"/>
    </w:pPr>
  </w:style>
  <w:style w:type="paragraph" w:styleId="901">
    <w:name w:val="toc 3"/>
    <w:basedOn w:val="720"/>
    <w:next w:val="720"/>
    <w:uiPriority w:val="39"/>
    <w:unhideWhenUsed/>
    <w:pPr>
      <w:pBdr/>
      <w:spacing w:after="57"/>
      <w:ind w:firstLine="0" w:left="567"/>
    </w:pPr>
  </w:style>
  <w:style w:type="paragraph" w:styleId="902">
    <w:name w:val="toc 4"/>
    <w:basedOn w:val="720"/>
    <w:next w:val="720"/>
    <w:uiPriority w:val="39"/>
    <w:unhideWhenUsed/>
    <w:pPr>
      <w:pBdr/>
      <w:spacing w:after="57"/>
      <w:ind w:firstLine="0" w:left="850"/>
    </w:pPr>
  </w:style>
  <w:style w:type="paragraph" w:styleId="903">
    <w:name w:val="toc 5"/>
    <w:basedOn w:val="720"/>
    <w:next w:val="720"/>
    <w:uiPriority w:val="39"/>
    <w:unhideWhenUsed/>
    <w:pPr>
      <w:pBdr/>
      <w:spacing w:after="57"/>
      <w:ind w:firstLine="0" w:left="1134"/>
    </w:pPr>
  </w:style>
  <w:style w:type="paragraph" w:styleId="904">
    <w:name w:val="toc 6"/>
    <w:basedOn w:val="720"/>
    <w:next w:val="720"/>
    <w:uiPriority w:val="39"/>
    <w:unhideWhenUsed/>
    <w:pPr>
      <w:pBdr/>
      <w:spacing w:after="57"/>
      <w:ind w:firstLine="0" w:left="1417"/>
    </w:pPr>
  </w:style>
  <w:style w:type="paragraph" w:styleId="905">
    <w:name w:val="toc 7"/>
    <w:basedOn w:val="720"/>
    <w:next w:val="720"/>
    <w:uiPriority w:val="39"/>
    <w:unhideWhenUsed/>
    <w:pPr>
      <w:pBdr/>
      <w:spacing w:after="57"/>
      <w:ind w:firstLine="0" w:left="1701"/>
    </w:pPr>
  </w:style>
  <w:style w:type="paragraph" w:styleId="906">
    <w:name w:val="toc 8"/>
    <w:basedOn w:val="720"/>
    <w:next w:val="720"/>
    <w:uiPriority w:val="39"/>
    <w:unhideWhenUsed/>
    <w:pPr>
      <w:pBdr/>
      <w:spacing w:after="57"/>
      <w:ind w:firstLine="0" w:left="1984"/>
    </w:pPr>
  </w:style>
  <w:style w:type="paragraph" w:styleId="907">
    <w:name w:val="toc 9"/>
    <w:basedOn w:val="720"/>
    <w:next w:val="720"/>
    <w:uiPriority w:val="39"/>
    <w:unhideWhenUsed/>
    <w:pPr>
      <w:pBdr/>
      <w:spacing w:after="57"/>
      <w:ind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720"/>
    <w:next w:val="720"/>
    <w:uiPriority w:val="99"/>
    <w:unhideWhenUsed/>
    <w:pPr>
      <w:pBdr/>
      <w:spacing/>
      <w:ind/>
    </w:pPr>
  </w:style>
  <w:style w:type="character" w:styleId="910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11" w:customStyle="1">
    <w:name w:val="Звичайни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12" w:customStyle="1">
    <w:name w:val="Основной текст4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600" w:line="322" w:lineRule="exact"/>
      <w:ind/>
      <w:jc w:val="both"/>
    </w:pPr>
    <w:rPr>
      <w:rFonts w:eastAsiaTheme="minorEastAsia"/>
      <w:sz w:val="26"/>
      <w:szCs w:val="26"/>
      <w:lang w:val="ru-RU" w:eastAsia="ru-RU"/>
    </w:rPr>
  </w:style>
  <w:style w:type="paragraph" w:styleId="913" w:customStyle="1">
    <w:name w:val="Основ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4" w:customStyle="1">
    <w:name w:val="Стандартний HTM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Courier New" w:cs="Times New Roman"/>
      <w:color w:val="000000"/>
      <w:sz w:val="18"/>
      <w:szCs w:val="18"/>
      <w:lang w:val="ru-RU" w:eastAsia="ru-RU"/>
    </w:rPr>
  </w:style>
  <w:style w:type="paragraph" w:styleId="915" w:customStyle="1">
    <w:name w:val="Нормаль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916" w:customStyle="1">
    <w:name w:val="Основной текст (2)"/>
    <w:link w:val="847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240" w:line="335" w:lineRule="exact"/>
      <w:ind w:hanging="360"/>
      <w:jc w:val="center"/>
    </w:pPr>
    <w:rPr>
      <w:rFonts w:ascii="Times New Roman" w:hAnsi="Times New Roman" w:eastAsia="Times New Roman" w:cs="Times New Roman"/>
      <w:sz w:val="26"/>
      <w:szCs w:val="26"/>
      <w:lang w:val="ru-RU"/>
    </w:rPr>
  </w:style>
  <w:style w:type="paragraph" w:styleId="917" w:customStyle="1">
    <w:name w:val="Основной текст (3)"/>
    <w:link w:val="849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60" w:before="240" w:line="335" w:lineRule="exact"/>
      <w:ind w:firstLine="740"/>
      <w:jc w:val="both"/>
    </w:pPr>
    <w:rPr>
      <w:rFonts w:ascii="Times New Roman" w:hAnsi="Times New Roman" w:eastAsia="Times New Roman" w:cs="Times New Roman"/>
      <w:b/>
      <w:bCs/>
      <w:sz w:val="26"/>
      <w:szCs w:val="26"/>
      <w:lang w:val="ru-RU"/>
    </w:rPr>
  </w:style>
  <w:style w:type="paragraph" w:styleId="918">
    <w:name w:val="Balloon Text"/>
    <w:basedOn w:val="720"/>
    <w:link w:val="91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19" w:customStyle="1">
    <w:name w:val="Текст выноски Знак"/>
    <w:basedOn w:val="730"/>
    <w:link w:val="918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Четвертакова Наталія Вікторівна</cp:lastModifiedBy>
  <cp:revision>10</cp:revision>
  <dcterms:created xsi:type="dcterms:W3CDTF">2026-06-25T08:35:00Z</dcterms:created>
  <dcterms:modified xsi:type="dcterms:W3CDTF">2026-06-25T11:24:22Z</dcterms:modified>
</cp:coreProperties>
</file>