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86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</w:rPr>
      </w:pP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</w:p>
    <w:p>
      <w:pPr>
        <w:pStyle w:val="986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88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88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88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88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val="en-US" w:eastAsia="hi-IN" w:bidi="hi-IN"/>
        </w:rPr>
        <w:t xml:space="preserve">23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червня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1</w:t>
      </w:r>
      <w:r>
        <w:rPr>
          <w:rFonts w:cs="Mangal"/>
          <w:color w:val="000000"/>
          <w:szCs w:val="28"/>
          <w:lang w:val="en-US" w:eastAsia="hi-IN" w:bidi="hi-IN"/>
        </w:rPr>
        <w:t xml:space="preserve">73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88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88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88"/>
        <w:pBdr/>
        <w:spacing/>
        <w:ind/>
        <w:rPr/>
      </w:pPr>
      <w:r/>
      <w:r/>
    </w:p>
    <w:p>
      <w:pPr>
        <w:pStyle w:val="788"/>
        <w:pBdr/>
        <w:spacing/>
        <w:ind/>
        <w:rPr/>
      </w:pPr>
      <w:r>
        <w:t xml:space="preserve">Відповідно до положень Бюджетного кодексу України, ст. 42, 50 З</w:t>
      </w:r>
      <w:r>
        <w:t xml:space="preserve">акону України «Про місцеве самоврядування в Україні», рішення 6</w:t>
      </w:r>
      <w:r>
        <w:t xml:space="preserve">8 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</w:t>
      </w:r>
      <w:r>
        <w:t xml:space="preserve">в</w:t>
      </w:r>
      <w:r>
        <w:t xml:space="preserve"> бюджетних коштів: </w:t>
      </w:r>
      <w:r/>
    </w:p>
    <w:p>
      <w:pPr>
        <w:pStyle w:val="985"/>
        <w:numPr>
          <w:ilvl w:val="0"/>
          <w:numId w:val="18"/>
        </w:numPr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 та </w:t>
      </w:r>
      <w:r>
        <w:rPr>
          <w:szCs w:val="28"/>
        </w:rPr>
        <w:t xml:space="preserve">помісячного розпису видатків загального фонду Відділу </w:t>
      </w:r>
      <w:r>
        <w:rPr>
          <w:szCs w:val="28"/>
        </w:rPr>
        <w:t xml:space="preserve">освіти</w:t>
      </w:r>
      <w:r>
        <w:rPr>
          <w:szCs w:val="28"/>
        </w:rPr>
        <w:t xml:space="preserve"> </w:t>
      </w:r>
      <w:r>
        <w:rPr>
          <w:szCs w:val="28"/>
        </w:rPr>
        <w:t xml:space="preserve">Менської міської ради</w:t>
      </w:r>
      <w:r>
        <w:rPr>
          <w:szCs w:val="28"/>
        </w:rPr>
        <w:t xml:space="preserve"> </w:t>
      </w:r>
      <w:r>
        <w:rPr>
          <w:szCs w:val="28"/>
        </w:rPr>
        <w:t xml:space="preserve">з</w:t>
      </w:r>
      <w:r>
        <w:rPr>
          <w:szCs w:val="28"/>
        </w:rPr>
        <w:t xml:space="preserve"> н</w:t>
      </w:r>
      <w:r>
        <w:rPr>
          <w:szCs w:val="28"/>
        </w:rPr>
        <w:t xml:space="preserve">адання дошкільної освіти</w:t>
      </w:r>
      <w:r>
        <w:rPr>
          <w:szCs w:val="28"/>
        </w:rPr>
        <w:t xml:space="preserve">, а саме: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left="142"/>
        <w:rPr>
          <w:szCs w:val="28"/>
        </w:rPr>
      </w:pPr>
      <w:r>
        <w:rPr>
          <w:szCs w:val="28"/>
        </w:rPr>
        <w:t xml:space="preserve">- зменшити кошторисні призначення в частині видатків на оплату послуг (крім комунальних) в сумі 2000,00 грн;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left="142"/>
        <w:rPr>
          <w:szCs w:val="28"/>
        </w:rPr>
      </w:pPr>
      <w:r>
        <w:rPr>
          <w:szCs w:val="28"/>
        </w:rPr>
        <w:t xml:space="preserve">- збільшити кошторисні призначення в частині видатків на відрядження в сумі 300,00 грн</w:t>
      </w:r>
      <w:r>
        <w:rPr>
          <w:szCs w:val="28"/>
        </w:rPr>
        <w:t xml:space="preserve"> та </w:t>
      </w:r>
      <w:r>
        <w:rPr>
          <w:szCs w:val="28"/>
        </w:rPr>
        <w:t xml:space="preserve">на окремі заходи по реалізації державних (регіональних) програм, не віднесених до заходів розвитку в сумі 1700,00 </w:t>
      </w:r>
      <w:r>
        <w:rPr>
          <w:szCs w:val="28"/>
        </w:rPr>
        <w:t xml:space="preserve">грн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left="142"/>
        <w:rPr>
          <w:szCs w:val="28"/>
        </w:rPr>
      </w:pPr>
      <w:r>
        <w:rPr>
          <w:szCs w:val="28"/>
        </w:rPr>
        <w:t xml:space="preserve">(КПКВКМБ 0611010 КЕКВ 2240-2000,00 грн, </w:t>
      </w:r>
      <w:r>
        <w:rPr>
          <w:szCs w:val="28"/>
        </w:rPr>
        <w:t xml:space="preserve">КЕКВ </w:t>
      </w:r>
      <w:r>
        <w:rPr>
          <w:szCs w:val="28"/>
        </w:rPr>
        <w:t xml:space="preserve">2250+300,00 грн, КЕКВ 228</w:t>
      </w:r>
      <w:r>
        <w:rPr>
          <w:szCs w:val="28"/>
        </w:rPr>
        <w:t xml:space="preserve">2+1700,00 грн)</w:t>
      </w:r>
      <w:r>
        <w:rPr>
          <w:szCs w:val="28"/>
        </w:rPr>
      </w:r>
      <w:r>
        <w:rPr>
          <w:szCs w:val="28"/>
        </w:rPr>
      </w:r>
    </w:p>
    <w:p>
      <w:pPr>
        <w:pStyle w:val="985"/>
        <w:numPr>
          <w:ilvl w:val="0"/>
          <w:numId w:val="18"/>
        </w:numPr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firstLine="567" w:left="142"/>
        <w:rPr>
          <w:szCs w:val="28"/>
        </w:rPr>
      </w:pPr>
      <w:r>
        <w:rPr>
          <w:szCs w:val="28"/>
        </w:rPr>
        <w:t xml:space="preserve">Внести зміни до річного та помісячног</w:t>
      </w:r>
      <w:r>
        <w:rPr>
          <w:szCs w:val="28"/>
        </w:rPr>
        <w:t xml:space="preserve">о розпису видатків загального фонду Відділу освіти Менської міської ради з надання </w:t>
      </w:r>
      <w:r>
        <w:rPr>
          <w:szCs w:val="28"/>
        </w:rPr>
        <w:t xml:space="preserve">загальної середньої освіти закладами загальної середньої освіти за рахунок коштів місцевого бюджету</w:t>
      </w:r>
      <w:r>
        <w:rPr>
          <w:szCs w:val="28"/>
        </w:rPr>
        <w:t xml:space="preserve">, а саме: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left="142"/>
        <w:rPr>
          <w:szCs w:val="28"/>
        </w:rPr>
      </w:pPr>
      <w:r>
        <w:rPr>
          <w:szCs w:val="28"/>
        </w:rPr>
        <w:t xml:space="preserve">- з</w:t>
      </w:r>
      <w:r>
        <w:rPr>
          <w:szCs w:val="28"/>
        </w:rPr>
        <w:t xml:space="preserve">меншити кошторисні призначення в частині видатків на оплату предметів, матеріалів, обладнання та інвентарю на суму 2000,00 грн; 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left="142"/>
        <w:rPr>
          <w:szCs w:val="28"/>
        </w:rPr>
      </w:pPr>
      <w:r>
        <w:rPr>
          <w:szCs w:val="28"/>
        </w:rPr>
        <w:t xml:space="preserve">- збільшити кошторисні призначення в частині видатків на відрядження на суму 2000,00 грн.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left="142"/>
        <w:rPr>
          <w:szCs w:val="28"/>
        </w:rPr>
      </w:pPr>
      <w:r>
        <w:rPr>
          <w:szCs w:val="28"/>
        </w:rPr>
        <w:t xml:space="preserve">(КПКВК</w:t>
      </w:r>
      <w:r>
        <w:rPr>
          <w:szCs w:val="28"/>
        </w:rPr>
        <w:t xml:space="preserve">МБ 06110</w:t>
      </w:r>
      <w:r>
        <w:rPr>
          <w:szCs w:val="28"/>
        </w:rPr>
        <w:t xml:space="preserve">2</w:t>
      </w:r>
      <w:r>
        <w:rPr>
          <w:szCs w:val="28"/>
        </w:rPr>
        <w:t xml:space="preserve">1</w:t>
      </w:r>
      <w:r>
        <w:rPr>
          <w:szCs w:val="28"/>
        </w:rPr>
        <w:t xml:space="preserve"> КЕКВ 22</w:t>
      </w:r>
      <w:r>
        <w:rPr>
          <w:szCs w:val="28"/>
        </w:rPr>
        <w:t xml:space="preserve">1</w:t>
      </w:r>
      <w:r>
        <w:rPr>
          <w:szCs w:val="28"/>
        </w:rPr>
        <w:t xml:space="preserve">0-2000,00 грн, </w:t>
      </w:r>
      <w:r>
        <w:rPr>
          <w:szCs w:val="28"/>
        </w:rPr>
        <w:t xml:space="preserve">КЕКВ </w:t>
      </w:r>
      <w:r>
        <w:rPr>
          <w:szCs w:val="28"/>
        </w:rPr>
        <w:t xml:space="preserve">2250+</w:t>
      </w:r>
      <w:r>
        <w:rPr>
          <w:szCs w:val="28"/>
        </w:rPr>
        <w:t xml:space="preserve">20</w:t>
      </w:r>
      <w:r>
        <w:rPr>
          <w:szCs w:val="28"/>
        </w:rPr>
        <w:t xml:space="preserve">00,00 грн,</w:t>
      </w:r>
      <w:r>
        <w:rPr>
          <w:szCs w:val="28"/>
        </w:rPr>
      </w:r>
      <w:r>
        <w:rPr>
          <w:szCs w:val="28"/>
        </w:rPr>
      </w:r>
    </w:p>
    <w:p>
      <w:pPr>
        <w:pStyle w:val="985"/>
        <w:numPr>
          <w:ilvl w:val="0"/>
          <w:numId w:val="18"/>
        </w:numPr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firstLine="567" w:left="142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 розпису</w:t>
      </w:r>
      <w:r>
        <w:rPr>
          <w:szCs w:val="28"/>
        </w:rPr>
        <w:t xml:space="preserve"> видатків загального фонду Відділу освіти Менської міської ради з надання загальної середньої освіти закладами загальної середньої освіти за рахунок коштів місцевого бюджету, а саме: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- </w:t>
      </w:r>
      <w:r>
        <w:rPr>
          <w:szCs w:val="28"/>
        </w:rPr>
        <w:t xml:space="preserve">в частині видатків на оплату предметів,</w:t>
      </w:r>
      <w:r>
        <w:rPr>
          <w:szCs w:val="28"/>
        </w:rPr>
        <w:t xml:space="preserve"> матеріалів, обладнання та інвентарю</w:t>
      </w:r>
      <w:r>
        <w:rPr>
          <w:szCs w:val="28"/>
        </w:rPr>
        <w:t xml:space="preserve">,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кошторисні призначення</w:t>
      </w:r>
      <w:r>
        <w:rPr>
          <w:szCs w:val="28"/>
        </w:rPr>
        <w:t xml:space="preserve"> на суму </w:t>
      </w:r>
      <w:r>
        <w:rPr>
          <w:szCs w:val="28"/>
        </w:rPr>
        <w:t xml:space="preserve">55</w:t>
      </w:r>
      <w:r>
        <w:rPr>
          <w:szCs w:val="28"/>
        </w:rPr>
        <w:t xml:space="preserve">00,00 грн</w:t>
      </w:r>
      <w:r>
        <w:rPr>
          <w:szCs w:val="28"/>
        </w:rPr>
        <w:t xml:space="preserve"> в серпні місяці, 8500</w:t>
      </w:r>
      <w:r>
        <w:rPr>
          <w:szCs w:val="28"/>
        </w:rPr>
        <w:t xml:space="preserve">,00 грн в вересні місяці, 4000</w:t>
      </w:r>
      <w:r>
        <w:rPr>
          <w:szCs w:val="28"/>
        </w:rPr>
        <w:t xml:space="preserve">,00 грн в жовтні місяці, 2000,00 в листопаді місяц</w:t>
      </w:r>
      <w:r>
        <w:rPr>
          <w:szCs w:val="28"/>
        </w:rPr>
        <w:t xml:space="preserve">і, 1000,00 грн в грудні місяці</w:t>
      </w:r>
      <w:r>
        <w:rPr>
          <w:szCs w:val="28"/>
        </w:rPr>
        <w:t xml:space="preserve">, збільшивши видаткову частин</w:t>
      </w:r>
      <w:r>
        <w:rPr>
          <w:szCs w:val="28"/>
        </w:rPr>
        <w:t xml:space="preserve">у видатків в червні місяці на суму 21000,00 грн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(КПКВКМБ 0611021 КЕКВ 2210);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- в частині видатків на оплату </w:t>
      </w:r>
      <w:r>
        <w:rPr>
          <w:szCs w:val="28"/>
        </w:rPr>
        <w:t xml:space="preserve">послуг (крім комунальних)</w:t>
      </w:r>
      <w:r>
        <w:rPr>
          <w:szCs w:val="28"/>
        </w:rPr>
        <w:t xml:space="preserve">, зменшити кошторисні призначення на суму </w:t>
      </w:r>
      <w:r>
        <w:rPr>
          <w:szCs w:val="28"/>
        </w:rPr>
        <w:t xml:space="preserve">1</w:t>
      </w:r>
      <w:r>
        <w:rPr>
          <w:szCs w:val="28"/>
        </w:rPr>
        <w:t xml:space="preserve">5</w:t>
      </w:r>
      <w:r>
        <w:rPr>
          <w:szCs w:val="28"/>
        </w:rPr>
        <w:t xml:space="preserve">0</w:t>
      </w:r>
      <w:r>
        <w:rPr>
          <w:szCs w:val="28"/>
        </w:rPr>
        <w:t xml:space="preserve">00,00 грн в вересні місяці, </w:t>
      </w:r>
      <w:r>
        <w:rPr>
          <w:szCs w:val="28"/>
        </w:rPr>
        <w:t xml:space="preserve">10</w:t>
      </w:r>
      <w:r>
        <w:rPr>
          <w:szCs w:val="28"/>
        </w:rPr>
        <w:t xml:space="preserve">000,00 грн в жовтні місяці, </w:t>
      </w:r>
      <w:r>
        <w:rPr>
          <w:szCs w:val="28"/>
        </w:rPr>
        <w:t xml:space="preserve">51</w:t>
      </w:r>
      <w:r>
        <w:rPr>
          <w:szCs w:val="28"/>
        </w:rPr>
        <w:t xml:space="preserve">00,00 в листопаді місяці, </w:t>
      </w:r>
      <w:r>
        <w:rPr>
          <w:szCs w:val="28"/>
        </w:rPr>
        <w:t xml:space="preserve">збільшивши видаткову частину видат</w:t>
      </w:r>
      <w:r>
        <w:rPr>
          <w:szCs w:val="28"/>
        </w:rPr>
        <w:t xml:space="preserve">ків в червні місяці на суму </w:t>
      </w:r>
      <w:r>
        <w:rPr>
          <w:szCs w:val="28"/>
        </w:rPr>
        <w:t xml:space="preserve">301</w:t>
      </w:r>
      <w:r>
        <w:rPr>
          <w:szCs w:val="28"/>
        </w:rPr>
        <w:t xml:space="preserve">00,00 грн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(КПКВКМБ 0611021 КЕКВ 2240)</w:t>
      </w:r>
      <w:r>
        <w:rPr>
          <w:szCs w:val="28"/>
        </w:rPr>
      </w:r>
      <w:r>
        <w:rPr>
          <w:szCs w:val="28"/>
        </w:rPr>
      </w:r>
    </w:p>
    <w:p>
      <w:pPr>
        <w:pStyle w:val="985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річного та помісячного розпису видатків загального фонду </w:t>
      </w:r>
      <w:r>
        <w:rPr>
          <w:szCs w:val="28"/>
        </w:rPr>
        <w:t xml:space="preserve">Менської міської ради </w:t>
      </w:r>
      <w:r>
        <w:rPr>
          <w:szCs w:val="28"/>
        </w:rPr>
        <w:t xml:space="preserve">на і</w:t>
      </w:r>
      <w:r>
        <w:rPr>
          <w:szCs w:val="28"/>
        </w:rPr>
        <w:t xml:space="preserve">нші заходи громадського порядку та безпеки</w:t>
      </w:r>
      <w:r>
        <w:rPr>
          <w:szCs w:val="28"/>
        </w:rPr>
        <w:t xml:space="preserve">,</w:t>
      </w:r>
      <w:r>
        <w:rPr>
          <w:szCs w:val="28"/>
        </w:rPr>
        <w:t xml:space="preserve"> в частині фінансування </w:t>
      </w:r>
      <w:r>
        <w:rPr>
          <w:color w:val="000000"/>
        </w:rPr>
        <w:t xml:space="preserve">П</w:t>
      </w:r>
      <w:r>
        <w:rPr>
          <w:color w:val="000000"/>
        </w:rPr>
        <w:t xml:space="preserve">рограм</w:t>
      </w:r>
      <w:r>
        <w:rPr>
          <w:color w:val="000000"/>
        </w:rPr>
        <w:t xml:space="preserve">и</w:t>
      </w:r>
      <w:r>
        <w:rPr>
          <w:color w:val="000000"/>
        </w:rPr>
        <w:t xml:space="preserve"> підвищення обороноздатності та безпеки населених пунктів Менської міської територіальної громади в умовах воєнного стану на 202</w:t>
      </w:r>
      <w:r>
        <w:rPr>
          <w:color w:val="000000"/>
        </w:rPr>
        <w:t xml:space="preserve">6</w:t>
      </w:r>
      <w:r>
        <w:rPr>
          <w:color w:val="000000"/>
        </w:rPr>
        <w:t xml:space="preserve"> рік</w:t>
      </w:r>
      <w:r>
        <w:rPr>
          <w:color w:val="000000"/>
        </w:rPr>
        <w:t xml:space="preserve">,</w:t>
      </w:r>
      <w:r>
        <w:rPr>
          <w:szCs w:val="28"/>
        </w:rPr>
        <w:t xml:space="preserve"> а саме: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- зменшити кошторисні призначення в частині видатків на оплату предметів, матеріалів, обладнання та інвентарю на суму </w:t>
      </w:r>
      <w:r>
        <w:rPr>
          <w:szCs w:val="28"/>
        </w:rPr>
        <w:t xml:space="preserve">618</w:t>
      </w:r>
      <w:r>
        <w:rPr>
          <w:szCs w:val="28"/>
        </w:rPr>
        <w:t xml:space="preserve">000,00 грн;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 xml:space="preserve">- збільшити кошторисні призначення в частині видатків </w:t>
      </w:r>
      <w:r>
        <w:rPr>
          <w:szCs w:val="28"/>
        </w:rPr>
        <w:t xml:space="preserve">на п</w:t>
      </w:r>
      <w:r>
        <w:rPr>
          <w:szCs w:val="28"/>
        </w:rPr>
        <w:t xml:space="preserve">р</w:t>
      </w:r>
      <w:r>
        <w:rPr>
          <w:szCs w:val="28"/>
        </w:rPr>
        <w:t xml:space="preserve">идбання обладнання і предметів довгострокового користування</w:t>
      </w:r>
      <w:r>
        <w:rPr>
          <w:szCs w:val="28"/>
        </w:rPr>
        <w:t xml:space="preserve"> </w:t>
      </w:r>
      <w:r>
        <w:rPr>
          <w:szCs w:val="28"/>
        </w:rPr>
        <w:t xml:space="preserve">в сумі </w:t>
      </w:r>
      <w:r>
        <w:rPr>
          <w:szCs w:val="28"/>
        </w:rPr>
        <w:t xml:space="preserve">6180</w:t>
      </w:r>
      <w:r>
        <w:rPr>
          <w:szCs w:val="28"/>
        </w:rPr>
        <w:t xml:space="preserve">00,00 грн</w:t>
      </w:r>
      <w:r>
        <w:rPr>
          <w:szCs w:val="28"/>
        </w:rPr>
      </w:r>
      <w:r>
        <w:rPr>
          <w:szCs w:val="28"/>
        </w:rPr>
      </w:r>
    </w:p>
    <w:p>
      <w:pPr>
        <w:pStyle w:val="985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(КПКВКМБ</w:t>
      </w:r>
      <w:r>
        <w:rPr>
          <w:szCs w:val="28"/>
        </w:rPr>
        <w:t xml:space="preserve"> 0</w:t>
      </w:r>
      <w:r>
        <w:rPr>
          <w:szCs w:val="28"/>
        </w:rPr>
        <w:t xml:space="preserve">11</w:t>
      </w:r>
      <w:r>
        <w:rPr>
          <w:szCs w:val="28"/>
        </w:rPr>
        <w:t xml:space="preserve">8230</w:t>
      </w:r>
      <w:r>
        <w:rPr>
          <w:szCs w:val="28"/>
        </w:rPr>
        <w:t xml:space="preserve"> КЕКВ 22</w:t>
      </w:r>
      <w:r>
        <w:rPr>
          <w:szCs w:val="28"/>
        </w:rPr>
        <w:t xml:space="preserve">1</w:t>
      </w:r>
      <w:r>
        <w:rPr>
          <w:szCs w:val="28"/>
        </w:rPr>
        <w:t xml:space="preserve">0-</w:t>
      </w:r>
      <w:r>
        <w:rPr>
          <w:szCs w:val="28"/>
        </w:rPr>
        <w:t xml:space="preserve">6180</w:t>
      </w:r>
      <w:r>
        <w:rPr>
          <w:szCs w:val="28"/>
        </w:rPr>
        <w:t xml:space="preserve">00,00 грн, КЕКВ </w:t>
      </w:r>
      <w:r>
        <w:rPr>
          <w:szCs w:val="28"/>
        </w:rPr>
        <w:t xml:space="preserve">3110</w:t>
      </w:r>
      <w:r>
        <w:rPr>
          <w:szCs w:val="28"/>
        </w:rPr>
        <w:t xml:space="preserve">+</w:t>
      </w:r>
      <w:r>
        <w:rPr>
          <w:szCs w:val="28"/>
        </w:rPr>
        <w:t xml:space="preserve">6180</w:t>
      </w:r>
      <w:r>
        <w:rPr>
          <w:szCs w:val="28"/>
        </w:rPr>
        <w:t xml:space="preserve">00,00 грн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985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88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788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788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</w:t>
      </w:r>
      <w:r>
        <w:rPr>
          <w:color w:val="000000"/>
          <w:szCs w:val="28"/>
        </w:rPr>
        <w:t xml:space="preserve">екретар рад</w:t>
      </w:r>
      <w:r>
        <w:rPr>
          <w:color w:val="000000"/>
          <w:szCs w:val="28"/>
        </w:rPr>
        <w:t xml:space="preserve">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8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7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7"/>
  </w:num>
  <w:num w:numId="5">
    <w:abstractNumId w:val="14"/>
  </w:num>
  <w:num w:numId="6">
    <w:abstractNumId w:val="1"/>
  </w:num>
  <w:num w:numId="7">
    <w:abstractNumId w:val="12"/>
  </w:num>
  <w:num w:numId="8">
    <w:abstractNumId w:val="11"/>
  </w:num>
  <w:num w:numId="9">
    <w:abstractNumId w:val="5"/>
  </w:num>
  <w:num w:numId="10">
    <w:abstractNumId w:val="2"/>
  </w:num>
  <w:num w:numId="11">
    <w:abstractNumId w:val="4"/>
  </w:num>
  <w:num w:numId="12">
    <w:abstractNumId w:val="3"/>
  </w:num>
  <w:num w:numId="13">
    <w:abstractNumId w:val="15"/>
  </w:num>
  <w:num w:numId="14">
    <w:abstractNumId w:val="16"/>
  </w:num>
  <w:num w:numId="15">
    <w:abstractNumId w:val="13"/>
  </w:num>
  <w:num w:numId="16">
    <w:abstractNumId w:val="17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Table Grid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3">
    <w:name w:val="Heading 1"/>
    <w:basedOn w:val="788"/>
    <w:next w:val="788"/>
    <w:link w:val="85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54">
    <w:name w:val="Heading 2"/>
    <w:basedOn w:val="788"/>
    <w:next w:val="788"/>
    <w:link w:val="85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55">
    <w:name w:val="Heading 3"/>
    <w:basedOn w:val="788"/>
    <w:next w:val="788"/>
    <w:link w:val="85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56">
    <w:name w:val="Heading 4"/>
    <w:basedOn w:val="788"/>
    <w:next w:val="788"/>
    <w:link w:val="85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57">
    <w:name w:val="Heading 5"/>
    <w:basedOn w:val="788"/>
    <w:next w:val="788"/>
    <w:link w:val="85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58">
    <w:name w:val="Heading 6"/>
    <w:basedOn w:val="788"/>
    <w:next w:val="788"/>
    <w:link w:val="85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59">
    <w:name w:val="Heading 7"/>
    <w:basedOn w:val="788"/>
    <w:next w:val="788"/>
    <w:link w:val="85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0">
    <w:name w:val="Heading 8"/>
    <w:basedOn w:val="788"/>
    <w:next w:val="788"/>
    <w:link w:val="85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1">
    <w:name w:val="Heading 9"/>
    <w:basedOn w:val="788"/>
    <w:next w:val="788"/>
    <w:link w:val="85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2" w:default="1">
    <w:name w:val="Default Paragraph Font"/>
    <w:uiPriority w:val="1"/>
    <w:semiHidden/>
    <w:unhideWhenUsed/>
    <w:pPr>
      <w:pBdr/>
      <w:spacing/>
      <w:ind/>
    </w:pPr>
  </w:style>
  <w:style w:type="numbering" w:styleId="763" w:default="1">
    <w:name w:val="No List"/>
    <w:uiPriority w:val="99"/>
    <w:semiHidden/>
    <w:unhideWhenUsed/>
    <w:pPr>
      <w:pBdr/>
      <w:spacing/>
      <w:ind/>
    </w:pPr>
  </w:style>
  <w:style w:type="paragraph" w:styleId="764">
    <w:name w:val="Title"/>
    <w:basedOn w:val="788"/>
    <w:next w:val="788"/>
    <w:link w:val="8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5">
    <w:name w:val="Subtitle"/>
    <w:basedOn w:val="788"/>
    <w:next w:val="788"/>
    <w:link w:val="8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66">
    <w:name w:val="Quote"/>
    <w:basedOn w:val="788"/>
    <w:next w:val="788"/>
    <w:link w:val="86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67">
    <w:name w:val="List Paragraph"/>
    <w:basedOn w:val="788"/>
    <w:uiPriority w:val="34"/>
    <w:qFormat/>
    <w:pPr>
      <w:pBdr/>
      <w:spacing/>
      <w:ind w:left="720"/>
      <w:contextualSpacing w:val="true"/>
    </w:pPr>
  </w:style>
  <w:style w:type="character" w:styleId="768">
    <w:name w:val="Intense Emphasis"/>
    <w:basedOn w:val="76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69">
    <w:name w:val="Intense Quote"/>
    <w:basedOn w:val="788"/>
    <w:next w:val="788"/>
    <w:link w:val="86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0">
    <w:name w:val="Intense Reference"/>
    <w:basedOn w:val="76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1">
    <w:name w:val="No Spacing"/>
    <w:basedOn w:val="788"/>
    <w:uiPriority w:val="1"/>
    <w:qFormat/>
    <w:pPr>
      <w:pBdr/>
      <w:spacing w:after="0" w:line="240" w:lineRule="auto"/>
      <w:ind/>
    </w:pPr>
  </w:style>
  <w:style w:type="character" w:styleId="772">
    <w:name w:val="Subtle Emphasis"/>
    <w:basedOn w:val="76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3">
    <w:name w:val="Emphasis"/>
    <w:basedOn w:val="762"/>
    <w:uiPriority w:val="20"/>
    <w:qFormat/>
    <w:pPr>
      <w:pBdr/>
      <w:spacing/>
      <w:ind/>
    </w:pPr>
    <w:rPr>
      <w:i/>
      <w:iCs/>
    </w:rPr>
  </w:style>
  <w:style w:type="character" w:styleId="774">
    <w:name w:val="Strong"/>
    <w:basedOn w:val="762"/>
    <w:uiPriority w:val="22"/>
    <w:qFormat/>
    <w:pPr>
      <w:pBdr/>
      <w:spacing/>
      <w:ind/>
    </w:pPr>
    <w:rPr>
      <w:b/>
      <w:bCs/>
    </w:rPr>
  </w:style>
  <w:style w:type="character" w:styleId="775">
    <w:name w:val="Subtle Reference"/>
    <w:basedOn w:val="76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6">
    <w:name w:val="Book Title"/>
    <w:basedOn w:val="76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7">
    <w:name w:val="Header"/>
    <w:basedOn w:val="788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8">
    <w:name w:val="Footer"/>
    <w:basedOn w:val="788"/>
    <w:link w:val="86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9">
    <w:name w:val="Caption"/>
    <w:basedOn w:val="788"/>
    <w:next w:val="78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0">
    <w:name w:val="footnote text"/>
    <w:basedOn w:val="788"/>
    <w:link w:val="8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1">
    <w:name w:val="footnote reference"/>
    <w:basedOn w:val="762"/>
    <w:uiPriority w:val="99"/>
    <w:semiHidden/>
    <w:unhideWhenUsed/>
    <w:pPr>
      <w:pBdr/>
      <w:spacing/>
      <w:ind/>
    </w:pPr>
    <w:rPr>
      <w:vertAlign w:val="superscript"/>
    </w:rPr>
  </w:style>
  <w:style w:type="paragraph" w:styleId="782">
    <w:name w:val="endnote text"/>
    <w:basedOn w:val="788"/>
    <w:link w:val="88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3">
    <w:name w:val="endnote reference"/>
    <w:basedOn w:val="762"/>
    <w:uiPriority w:val="99"/>
    <w:semiHidden/>
    <w:unhideWhenUsed/>
    <w:pPr>
      <w:pBdr/>
      <w:spacing/>
      <w:ind/>
    </w:pPr>
    <w:rPr>
      <w:vertAlign w:val="superscript"/>
    </w:rPr>
  </w:style>
  <w:style w:type="character" w:styleId="784">
    <w:name w:val="Hyperlink"/>
    <w:basedOn w:val="76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5">
    <w:name w:val="FollowedHyperlink"/>
    <w:basedOn w:val="76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6">
    <w:name w:val="TOC Heading"/>
    <w:uiPriority w:val="39"/>
    <w:unhideWhenUsed/>
    <w:pPr>
      <w:pBdr/>
      <w:spacing/>
      <w:ind/>
    </w:pPr>
  </w:style>
  <w:style w:type="paragraph" w:styleId="787">
    <w:name w:val="table of figures"/>
    <w:basedOn w:val="788"/>
    <w:next w:val="788"/>
    <w:uiPriority w:val="99"/>
    <w:unhideWhenUsed/>
    <w:pPr>
      <w:pBdr/>
      <w:spacing w:after="0" w:afterAutospacing="0"/>
      <w:ind/>
    </w:pPr>
  </w:style>
  <w:style w:type="paragraph" w:styleId="788" w:default="1">
    <w:name w:val="Normal"/>
    <w:next w:val="788"/>
    <w:link w:val="788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89">
    <w:name w:val="Заголовок 1"/>
    <w:basedOn w:val="788"/>
    <w:next w:val="788"/>
    <w:link w:val="976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90">
    <w:name w:val="Заголовок 2"/>
    <w:basedOn w:val="788"/>
    <w:next w:val="788"/>
    <w:link w:val="97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91">
    <w:name w:val="Заголовок 3"/>
    <w:basedOn w:val="788"/>
    <w:next w:val="788"/>
    <w:link w:val="97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92">
    <w:name w:val="Заголовок 4"/>
    <w:basedOn w:val="788"/>
    <w:next w:val="788"/>
    <w:link w:val="97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3">
    <w:name w:val="Заголовок 5"/>
    <w:basedOn w:val="788"/>
    <w:next w:val="788"/>
    <w:link w:val="980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4">
    <w:name w:val="Заголовок 6"/>
    <w:basedOn w:val="788"/>
    <w:next w:val="788"/>
    <w:link w:val="98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95">
    <w:name w:val="Заголовок 7"/>
    <w:basedOn w:val="788"/>
    <w:next w:val="788"/>
    <w:link w:val="982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96">
    <w:name w:val="Заголовок 8"/>
    <w:basedOn w:val="788"/>
    <w:next w:val="788"/>
    <w:link w:val="98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97">
    <w:name w:val="Заголовок 9"/>
    <w:basedOn w:val="788"/>
    <w:next w:val="788"/>
    <w:link w:val="98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8">
    <w:name w:val="Шрифт абзацу за замовчуванням"/>
    <w:next w:val="798"/>
    <w:link w:val="788"/>
    <w:uiPriority w:val="1"/>
    <w:semiHidden/>
    <w:unhideWhenUsed/>
    <w:pPr>
      <w:pBdr/>
      <w:spacing/>
      <w:ind/>
    </w:pPr>
  </w:style>
  <w:style w:type="table" w:styleId="799">
    <w:name w:val="Звичайна таблиця"/>
    <w:next w:val="799"/>
    <w:link w:val="788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0">
    <w:name w:val="Немає списку"/>
    <w:next w:val="800"/>
    <w:link w:val="788"/>
    <w:uiPriority w:val="99"/>
    <w:semiHidden/>
    <w:unhideWhenUsed/>
    <w:pPr>
      <w:pBdr/>
      <w:spacing/>
      <w:ind/>
    </w:pPr>
  </w:style>
  <w:style w:type="table" w:styleId="801">
    <w:name w:val="Plain Table 1"/>
    <w:basedOn w:val="799"/>
    <w:next w:val="801"/>
    <w:link w:val="788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2"/>
    <w:basedOn w:val="799"/>
    <w:next w:val="802"/>
    <w:link w:val="788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Plain Table 3"/>
    <w:basedOn w:val="799"/>
    <w:next w:val="803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Plain Table 4"/>
    <w:basedOn w:val="799"/>
    <w:next w:val="804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Plain Table 5"/>
    <w:basedOn w:val="799"/>
    <w:next w:val="805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"/>
    <w:basedOn w:val="799"/>
    <w:next w:val="806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"/>
    <w:basedOn w:val="799"/>
    <w:next w:val="80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"/>
    <w:basedOn w:val="799"/>
    <w:next w:val="808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4"/>
    <w:basedOn w:val="799"/>
    <w:next w:val="809"/>
    <w:link w:val="788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5 Dark"/>
    <w:basedOn w:val="799"/>
    <w:next w:val="810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"/>
    <w:basedOn w:val="799"/>
    <w:next w:val="811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"/>
    <w:basedOn w:val="799"/>
    <w:next w:val="812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"/>
    <w:basedOn w:val="799"/>
    <w:next w:val="813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"/>
    <w:basedOn w:val="799"/>
    <w:next w:val="814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"/>
    <w:basedOn w:val="799"/>
    <w:next w:val="815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799"/>
    <w:next w:val="816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"/>
    <w:basedOn w:val="799"/>
    <w:next w:val="817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"/>
    <w:basedOn w:val="799"/>
    <w:next w:val="818"/>
    <w:link w:val="788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"/>
    <w:basedOn w:val="799"/>
    <w:next w:val="819"/>
    <w:link w:val="788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0">
    <w:name w:val="Сильне виокремлення"/>
    <w:next w:val="820"/>
    <w:link w:val="788"/>
    <w:uiPriority w:val="21"/>
    <w:qFormat/>
    <w:pPr>
      <w:pBdr/>
      <w:spacing/>
      <w:ind/>
    </w:pPr>
    <w:rPr>
      <w:i/>
      <w:iCs/>
      <w:color w:val="365f91"/>
    </w:rPr>
  </w:style>
  <w:style w:type="character" w:styleId="821">
    <w:name w:val="Сильне посилання"/>
    <w:next w:val="821"/>
    <w:link w:val="788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22">
    <w:name w:val="Слабке виокремлення"/>
    <w:next w:val="822"/>
    <w:link w:val="788"/>
    <w:uiPriority w:val="19"/>
    <w:qFormat/>
    <w:pPr>
      <w:pBdr/>
      <w:spacing/>
      <w:ind/>
    </w:pPr>
    <w:rPr>
      <w:i/>
      <w:iCs/>
      <w:color w:val="404040"/>
    </w:rPr>
  </w:style>
  <w:style w:type="character" w:styleId="823">
    <w:name w:val="Виділення"/>
    <w:next w:val="823"/>
    <w:link w:val="788"/>
    <w:uiPriority w:val="20"/>
    <w:qFormat/>
    <w:pPr>
      <w:pBdr/>
      <w:spacing/>
      <w:ind/>
    </w:pPr>
    <w:rPr>
      <w:i/>
      <w:iCs/>
    </w:rPr>
  </w:style>
  <w:style w:type="character" w:styleId="824">
    <w:name w:val="Строгий"/>
    <w:next w:val="824"/>
    <w:link w:val="788"/>
    <w:uiPriority w:val="22"/>
    <w:qFormat/>
    <w:pPr>
      <w:pBdr/>
      <w:spacing/>
      <w:ind/>
    </w:pPr>
    <w:rPr>
      <w:b/>
      <w:bCs/>
    </w:rPr>
  </w:style>
  <w:style w:type="character" w:styleId="825">
    <w:name w:val="Слабке посилання"/>
    <w:next w:val="825"/>
    <w:link w:val="788"/>
    <w:uiPriority w:val="31"/>
    <w:qFormat/>
    <w:pPr>
      <w:pBdr/>
      <w:spacing/>
      <w:ind/>
    </w:pPr>
    <w:rPr>
      <w:smallCaps/>
      <w:color w:val="5a5a5a"/>
    </w:rPr>
  </w:style>
  <w:style w:type="character" w:styleId="826">
    <w:name w:val="Назва книги"/>
    <w:next w:val="826"/>
    <w:link w:val="78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27">
    <w:name w:val="Переглянуте гіперпосилання"/>
    <w:next w:val="827"/>
    <w:link w:val="788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28">
    <w:name w:val="Заголовок змісту"/>
    <w:next w:val="828"/>
    <w:link w:val="788"/>
    <w:uiPriority w:val="39"/>
    <w:unhideWhenUsed/>
    <w:pPr>
      <w:pBdr/>
      <w:spacing/>
      <w:ind/>
    </w:pPr>
    <w:rPr>
      <w:lang w:val="uk-UA" w:eastAsia="uk-UA" w:bidi="ar-SA"/>
    </w:rPr>
  </w:style>
  <w:style w:type="character" w:styleId="829">
    <w:name w:val="Знак виноски"/>
    <w:next w:val="829"/>
    <w:link w:val="788"/>
    <w:uiPriority w:val="99"/>
    <w:unhideWhenUsed/>
    <w:qFormat/>
    <w:pPr>
      <w:pBdr/>
      <w:spacing/>
      <w:ind/>
    </w:pPr>
    <w:rPr>
      <w:vertAlign w:val="superscript"/>
    </w:rPr>
  </w:style>
  <w:style w:type="character" w:styleId="830">
    <w:name w:val="Знак кінцевої виноски"/>
    <w:next w:val="830"/>
    <w:link w:val="788"/>
    <w:uiPriority w:val="99"/>
    <w:semiHidden/>
    <w:unhideWhenUsed/>
    <w:pPr>
      <w:pBdr/>
      <w:spacing/>
      <w:ind/>
    </w:pPr>
    <w:rPr>
      <w:vertAlign w:val="superscript"/>
    </w:rPr>
  </w:style>
  <w:style w:type="character" w:styleId="831">
    <w:name w:val="Гіперпосилання"/>
    <w:next w:val="831"/>
    <w:link w:val="788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32">
    <w:name w:val="Текст у виносці"/>
    <w:basedOn w:val="788"/>
    <w:next w:val="832"/>
    <w:link w:val="1018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33">
    <w:name w:val="Текст кінцевої виноски"/>
    <w:basedOn w:val="788"/>
    <w:next w:val="833"/>
    <w:link w:val="888"/>
    <w:uiPriority w:val="99"/>
    <w:semiHidden/>
    <w:unhideWhenUsed/>
    <w:qFormat/>
    <w:pPr>
      <w:pBdr/>
      <w:spacing/>
      <w:ind/>
    </w:pPr>
    <w:rPr>
      <w:sz w:val="20"/>
    </w:rPr>
  </w:style>
  <w:style w:type="paragraph" w:styleId="834">
    <w:name w:val="Назва об'єкта"/>
    <w:basedOn w:val="788"/>
    <w:next w:val="788"/>
    <w:link w:val="788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35">
    <w:name w:val="Текст виноски"/>
    <w:basedOn w:val="788"/>
    <w:next w:val="835"/>
    <w:link w:val="1016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36">
    <w:name w:val="Зміст 8"/>
    <w:basedOn w:val="788"/>
    <w:next w:val="788"/>
    <w:link w:val="788"/>
    <w:uiPriority w:val="39"/>
    <w:unhideWhenUsed/>
    <w:pPr>
      <w:pBdr/>
      <w:spacing w:after="57"/>
      <w:ind w:firstLine="0" w:left="1984"/>
    </w:pPr>
  </w:style>
  <w:style w:type="paragraph" w:styleId="837">
    <w:name w:val="Верхній колонтитул"/>
    <w:basedOn w:val="788"/>
    <w:next w:val="837"/>
    <w:link w:val="993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38">
    <w:name w:val="Зміст 9"/>
    <w:basedOn w:val="788"/>
    <w:next w:val="788"/>
    <w:link w:val="788"/>
    <w:uiPriority w:val="39"/>
    <w:unhideWhenUsed/>
    <w:pPr>
      <w:pBdr/>
      <w:spacing w:after="57"/>
      <w:ind w:firstLine="0" w:left="2268"/>
    </w:pPr>
  </w:style>
  <w:style w:type="paragraph" w:styleId="839">
    <w:name w:val="Зміст 7"/>
    <w:basedOn w:val="788"/>
    <w:next w:val="788"/>
    <w:link w:val="788"/>
    <w:uiPriority w:val="39"/>
    <w:unhideWhenUsed/>
    <w:pPr>
      <w:pBdr/>
      <w:spacing w:after="57"/>
      <w:ind w:firstLine="0" w:left="1701"/>
    </w:pPr>
  </w:style>
  <w:style w:type="paragraph" w:styleId="840">
    <w:name w:val="Зміст 1"/>
    <w:basedOn w:val="788"/>
    <w:next w:val="788"/>
    <w:link w:val="788"/>
    <w:uiPriority w:val="39"/>
    <w:unhideWhenUsed/>
    <w:qFormat/>
    <w:pPr>
      <w:pBdr/>
      <w:spacing w:after="57"/>
      <w:ind w:firstLine="0"/>
    </w:pPr>
  </w:style>
  <w:style w:type="paragraph" w:styleId="841">
    <w:name w:val="Зміст 6"/>
    <w:basedOn w:val="788"/>
    <w:next w:val="788"/>
    <w:link w:val="788"/>
    <w:uiPriority w:val="39"/>
    <w:unhideWhenUsed/>
    <w:qFormat/>
    <w:pPr>
      <w:pBdr/>
      <w:spacing w:after="57"/>
      <w:ind w:firstLine="0" w:left="1417"/>
    </w:pPr>
  </w:style>
  <w:style w:type="paragraph" w:styleId="842">
    <w:name w:val="Перелік рисунків"/>
    <w:basedOn w:val="788"/>
    <w:next w:val="788"/>
    <w:link w:val="788"/>
    <w:uiPriority w:val="99"/>
    <w:unhideWhenUsed/>
    <w:qFormat/>
    <w:pPr>
      <w:pBdr/>
      <w:spacing/>
      <w:ind/>
    </w:pPr>
  </w:style>
  <w:style w:type="paragraph" w:styleId="843">
    <w:name w:val="Зміст 3"/>
    <w:basedOn w:val="788"/>
    <w:next w:val="788"/>
    <w:link w:val="788"/>
    <w:uiPriority w:val="39"/>
    <w:unhideWhenUsed/>
    <w:qFormat/>
    <w:pPr>
      <w:pBdr/>
      <w:spacing w:after="57"/>
      <w:ind w:firstLine="0" w:left="567"/>
    </w:pPr>
  </w:style>
  <w:style w:type="paragraph" w:styleId="844">
    <w:name w:val="Зміст 2"/>
    <w:basedOn w:val="788"/>
    <w:next w:val="788"/>
    <w:link w:val="788"/>
    <w:uiPriority w:val="39"/>
    <w:unhideWhenUsed/>
    <w:pPr>
      <w:pBdr/>
      <w:spacing w:after="57"/>
      <w:ind w:firstLine="0" w:left="283"/>
    </w:pPr>
  </w:style>
  <w:style w:type="paragraph" w:styleId="845">
    <w:name w:val="Зміст 4"/>
    <w:basedOn w:val="788"/>
    <w:next w:val="788"/>
    <w:link w:val="788"/>
    <w:uiPriority w:val="39"/>
    <w:unhideWhenUsed/>
    <w:pPr>
      <w:pBdr/>
      <w:spacing w:after="57"/>
      <w:ind w:firstLine="0" w:left="850"/>
    </w:pPr>
  </w:style>
  <w:style w:type="paragraph" w:styleId="846">
    <w:name w:val="Зміст 5"/>
    <w:basedOn w:val="788"/>
    <w:next w:val="788"/>
    <w:link w:val="788"/>
    <w:uiPriority w:val="39"/>
    <w:unhideWhenUsed/>
    <w:pPr>
      <w:pBdr/>
      <w:spacing w:after="57"/>
      <w:ind w:firstLine="0" w:left="1134"/>
    </w:pPr>
  </w:style>
  <w:style w:type="paragraph" w:styleId="847">
    <w:name w:val="Назва"/>
    <w:basedOn w:val="788"/>
    <w:next w:val="788"/>
    <w:link w:val="98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48">
    <w:name w:val="Нижній колонтитул"/>
    <w:basedOn w:val="788"/>
    <w:next w:val="848"/>
    <w:link w:val="994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49">
    <w:name w:val="Підзаголовок"/>
    <w:basedOn w:val="788"/>
    <w:next w:val="788"/>
    <w:link w:val="988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50">
    <w:name w:val="Сітка таблиці"/>
    <w:basedOn w:val="799"/>
    <w:next w:val="850"/>
    <w:link w:val="788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Heading 1 Char"/>
    <w:next w:val="851"/>
    <w:link w:val="788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52">
    <w:name w:val="Heading 2 Char"/>
    <w:next w:val="852"/>
    <w:link w:val="788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53">
    <w:name w:val="Heading 3 Char"/>
    <w:next w:val="853"/>
    <w:link w:val="788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54">
    <w:name w:val="Heading 4 Char"/>
    <w:next w:val="854"/>
    <w:link w:val="788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55">
    <w:name w:val="Heading 5 Char"/>
    <w:next w:val="855"/>
    <w:link w:val="788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56">
    <w:name w:val="Heading 6 Char"/>
    <w:next w:val="856"/>
    <w:link w:val="788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57">
    <w:name w:val="Heading 7 Char"/>
    <w:next w:val="857"/>
    <w:link w:val="788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58">
    <w:name w:val="Heading 8 Char"/>
    <w:next w:val="858"/>
    <w:link w:val="78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59">
    <w:name w:val="Heading 9 Char"/>
    <w:next w:val="859"/>
    <w:link w:val="78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60">
    <w:name w:val="Title Char"/>
    <w:next w:val="860"/>
    <w:link w:val="788"/>
    <w:uiPriority w:val="10"/>
    <w:qFormat/>
    <w:pPr>
      <w:pBdr/>
      <w:spacing/>
      <w:ind/>
    </w:pPr>
    <w:rPr>
      <w:sz w:val="48"/>
      <w:szCs w:val="48"/>
    </w:rPr>
  </w:style>
  <w:style w:type="character" w:styleId="861">
    <w:name w:val="Subtitle Char"/>
    <w:next w:val="861"/>
    <w:link w:val="788"/>
    <w:uiPriority w:val="11"/>
    <w:qFormat/>
    <w:pPr>
      <w:pBdr/>
      <w:spacing/>
      <w:ind/>
    </w:pPr>
    <w:rPr>
      <w:sz w:val="24"/>
      <w:szCs w:val="24"/>
    </w:rPr>
  </w:style>
  <w:style w:type="character" w:styleId="862">
    <w:name w:val="Quote Char"/>
    <w:next w:val="862"/>
    <w:link w:val="788"/>
    <w:uiPriority w:val="29"/>
    <w:qFormat/>
    <w:pPr>
      <w:pBdr/>
      <w:spacing/>
      <w:ind/>
    </w:pPr>
    <w:rPr>
      <w:i/>
    </w:rPr>
  </w:style>
  <w:style w:type="character" w:styleId="863">
    <w:name w:val="Intense Quote Char"/>
    <w:next w:val="863"/>
    <w:link w:val="788"/>
    <w:uiPriority w:val="30"/>
    <w:qFormat/>
    <w:pPr>
      <w:pBdr/>
      <w:spacing/>
      <w:ind/>
    </w:pPr>
    <w:rPr>
      <w:i/>
    </w:rPr>
  </w:style>
  <w:style w:type="character" w:styleId="864">
    <w:name w:val="Header Char"/>
    <w:basedOn w:val="798"/>
    <w:next w:val="864"/>
    <w:link w:val="788"/>
    <w:uiPriority w:val="99"/>
    <w:qFormat/>
    <w:pPr>
      <w:pBdr/>
      <w:spacing/>
      <w:ind/>
    </w:pPr>
  </w:style>
  <w:style w:type="character" w:styleId="865">
    <w:name w:val="Footer Char"/>
    <w:basedOn w:val="798"/>
    <w:next w:val="865"/>
    <w:link w:val="788"/>
    <w:uiPriority w:val="99"/>
    <w:pPr>
      <w:pBdr/>
      <w:spacing/>
      <w:ind/>
    </w:pPr>
  </w:style>
  <w:style w:type="table" w:styleId="866">
    <w:name w:val="Звичайна таблиця 11"/>
    <w:basedOn w:val="799"/>
    <w:next w:val="866"/>
    <w:link w:val="788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Звичайна таблиця 21"/>
    <w:basedOn w:val="799"/>
    <w:next w:val="867"/>
    <w:link w:val="788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Звичайна таблиця 31"/>
    <w:basedOn w:val="799"/>
    <w:next w:val="868"/>
    <w:link w:val="78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Звичайна таблиця 41"/>
    <w:basedOn w:val="799"/>
    <w:next w:val="869"/>
    <w:link w:val="78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Звичайна таблиця 51"/>
    <w:basedOn w:val="799"/>
    <w:next w:val="870"/>
    <w:link w:val="78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Таблиця-сітка 1 (світла)1"/>
    <w:basedOn w:val="799"/>
    <w:next w:val="871"/>
    <w:link w:val="788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Таблиця-сітка 21"/>
    <w:basedOn w:val="799"/>
    <w:next w:val="872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Таблиця-сітка 31"/>
    <w:basedOn w:val="799"/>
    <w:next w:val="873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Таблиця-сітка 41"/>
    <w:basedOn w:val="799"/>
    <w:next w:val="874"/>
    <w:link w:val="788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Таблиця-сітка 5 (темна)1"/>
    <w:basedOn w:val="799"/>
    <w:next w:val="875"/>
    <w:link w:val="78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Таблиця-сітка 6 (кольорова)1"/>
    <w:basedOn w:val="799"/>
    <w:next w:val="876"/>
    <w:link w:val="788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Таблиця-сітка 7 (кольорова)1"/>
    <w:basedOn w:val="799"/>
    <w:next w:val="877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Таблиця-список 1 (світлий)1"/>
    <w:basedOn w:val="799"/>
    <w:next w:val="878"/>
    <w:link w:val="78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Таблиця-список 21"/>
    <w:basedOn w:val="799"/>
    <w:next w:val="879"/>
    <w:link w:val="788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Таблиця-список 31"/>
    <w:basedOn w:val="799"/>
    <w:next w:val="880"/>
    <w:link w:val="788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Таблиця-список 41"/>
    <w:basedOn w:val="799"/>
    <w:next w:val="881"/>
    <w:link w:val="788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Таблиця-список 5 (темний)1"/>
    <w:basedOn w:val="799"/>
    <w:next w:val="882"/>
    <w:link w:val="788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Таблиця-список 6 (кольоровий)1"/>
    <w:basedOn w:val="799"/>
    <w:next w:val="883"/>
    <w:link w:val="788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Таблиця-список 7 (кольоровий)1"/>
    <w:basedOn w:val="799"/>
    <w:next w:val="884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5">
    <w:name w:val="Footnote Text Char"/>
    <w:next w:val="885"/>
    <w:link w:val="788"/>
    <w:uiPriority w:val="99"/>
    <w:pPr>
      <w:pBdr/>
      <w:spacing/>
      <w:ind/>
    </w:pPr>
    <w:rPr>
      <w:sz w:val="18"/>
    </w:rPr>
  </w:style>
  <w:style w:type="character" w:styleId="886">
    <w:name w:val="Endnote Text Char"/>
    <w:next w:val="886"/>
    <w:link w:val="788"/>
    <w:uiPriority w:val="99"/>
    <w:pPr>
      <w:pBdr/>
      <w:spacing/>
      <w:ind/>
    </w:pPr>
    <w:rPr>
      <w:sz w:val="20"/>
    </w:rPr>
  </w:style>
  <w:style w:type="character" w:styleId="887">
    <w:name w:val="Caption Char"/>
    <w:next w:val="887"/>
    <w:link w:val="788"/>
    <w:uiPriority w:val="99"/>
    <w:pPr>
      <w:pBdr/>
      <w:spacing/>
      <w:ind/>
    </w:pPr>
  </w:style>
  <w:style w:type="character" w:styleId="888">
    <w:name w:val="Текст кінцевої виноски Знак"/>
    <w:next w:val="888"/>
    <w:link w:val="833"/>
    <w:uiPriority w:val="99"/>
    <w:pPr>
      <w:pBdr/>
      <w:spacing/>
      <w:ind/>
    </w:pPr>
    <w:rPr>
      <w:sz w:val="20"/>
    </w:rPr>
  </w:style>
  <w:style w:type="table" w:styleId="889">
    <w:name w:val="Table Grid Light"/>
    <w:basedOn w:val="799"/>
    <w:next w:val="889"/>
    <w:link w:val="788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1 Light - Accent 1"/>
    <w:basedOn w:val="799"/>
    <w:next w:val="890"/>
    <w:link w:val="788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1 Light - Accent 2"/>
    <w:basedOn w:val="799"/>
    <w:next w:val="891"/>
    <w:link w:val="788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 - Accent 3"/>
    <w:basedOn w:val="799"/>
    <w:next w:val="892"/>
    <w:link w:val="788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1 Light - Accent 4"/>
    <w:basedOn w:val="799"/>
    <w:next w:val="893"/>
    <w:link w:val="788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 - Accent 5"/>
    <w:basedOn w:val="799"/>
    <w:next w:val="894"/>
    <w:link w:val="788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1 Light - Accent 6"/>
    <w:basedOn w:val="799"/>
    <w:next w:val="895"/>
    <w:link w:val="788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2 - Accent 1"/>
    <w:basedOn w:val="799"/>
    <w:next w:val="896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2 - Accent 2"/>
    <w:basedOn w:val="799"/>
    <w:next w:val="897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2 - Accent 3"/>
    <w:basedOn w:val="799"/>
    <w:next w:val="898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 - Accent 4"/>
    <w:basedOn w:val="799"/>
    <w:next w:val="899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2 - Accent 5"/>
    <w:basedOn w:val="799"/>
    <w:next w:val="900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 - Accent 6"/>
    <w:basedOn w:val="799"/>
    <w:next w:val="901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3 - Accent 1"/>
    <w:basedOn w:val="799"/>
    <w:next w:val="902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3 - Accent 2"/>
    <w:basedOn w:val="799"/>
    <w:next w:val="903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3 - Accent 3"/>
    <w:basedOn w:val="799"/>
    <w:next w:val="904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3 - Accent 4"/>
    <w:basedOn w:val="799"/>
    <w:next w:val="905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 - Accent 5"/>
    <w:basedOn w:val="799"/>
    <w:next w:val="906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3 - Accent 6"/>
    <w:basedOn w:val="799"/>
    <w:next w:val="907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1"/>
    <w:basedOn w:val="799"/>
    <w:next w:val="908"/>
    <w:link w:val="788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4 - Accent 2"/>
    <w:basedOn w:val="799"/>
    <w:next w:val="909"/>
    <w:link w:val="788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4 - Accent 3"/>
    <w:basedOn w:val="799"/>
    <w:next w:val="910"/>
    <w:link w:val="788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4 - Accent 4"/>
    <w:basedOn w:val="799"/>
    <w:next w:val="911"/>
    <w:link w:val="788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4 - Accent 5"/>
    <w:basedOn w:val="799"/>
    <w:next w:val="912"/>
    <w:link w:val="788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 - Accent 6"/>
    <w:basedOn w:val="799"/>
    <w:next w:val="913"/>
    <w:link w:val="788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- Accent 1"/>
    <w:basedOn w:val="799"/>
    <w:next w:val="914"/>
    <w:link w:val="78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2"/>
    <w:basedOn w:val="799"/>
    <w:next w:val="915"/>
    <w:link w:val="78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5 Dark - Accent 3"/>
    <w:basedOn w:val="799"/>
    <w:next w:val="916"/>
    <w:link w:val="78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5 Dark- Accent 4"/>
    <w:basedOn w:val="799"/>
    <w:next w:val="917"/>
    <w:link w:val="78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5 Dark - Accent 5"/>
    <w:basedOn w:val="799"/>
    <w:next w:val="918"/>
    <w:link w:val="78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5 Dark - Accent 6"/>
    <w:basedOn w:val="799"/>
    <w:next w:val="919"/>
    <w:link w:val="788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1"/>
    <w:basedOn w:val="799"/>
    <w:next w:val="920"/>
    <w:link w:val="788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2"/>
    <w:basedOn w:val="799"/>
    <w:next w:val="921"/>
    <w:link w:val="788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3"/>
    <w:basedOn w:val="799"/>
    <w:next w:val="922"/>
    <w:link w:val="788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6 Colorful - Accent 4"/>
    <w:basedOn w:val="799"/>
    <w:next w:val="923"/>
    <w:link w:val="788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6 Colorful - Accent 5"/>
    <w:basedOn w:val="799"/>
    <w:next w:val="924"/>
    <w:link w:val="788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6 Colorful - Accent 6"/>
    <w:basedOn w:val="799"/>
    <w:next w:val="925"/>
    <w:link w:val="788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1"/>
    <w:basedOn w:val="799"/>
    <w:next w:val="926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2"/>
    <w:basedOn w:val="799"/>
    <w:next w:val="927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3"/>
    <w:basedOn w:val="799"/>
    <w:next w:val="928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4"/>
    <w:basedOn w:val="799"/>
    <w:next w:val="929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7 Colorful - Accent 5"/>
    <w:basedOn w:val="799"/>
    <w:next w:val="930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7 Colorful - Accent 6"/>
    <w:basedOn w:val="799"/>
    <w:next w:val="931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1"/>
    <w:basedOn w:val="799"/>
    <w:next w:val="932"/>
    <w:link w:val="78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2"/>
    <w:basedOn w:val="799"/>
    <w:next w:val="933"/>
    <w:link w:val="78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3"/>
    <w:basedOn w:val="799"/>
    <w:next w:val="934"/>
    <w:link w:val="78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4"/>
    <w:basedOn w:val="799"/>
    <w:next w:val="935"/>
    <w:link w:val="78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5"/>
    <w:basedOn w:val="799"/>
    <w:next w:val="936"/>
    <w:link w:val="78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1 Light - Accent 6"/>
    <w:basedOn w:val="799"/>
    <w:next w:val="937"/>
    <w:link w:val="788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799"/>
    <w:next w:val="938"/>
    <w:link w:val="788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799"/>
    <w:next w:val="939"/>
    <w:link w:val="788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799"/>
    <w:next w:val="940"/>
    <w:link w:val="788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799"/>
    <w:next w:val="941"/>
    <w:link w:val="788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799"/>
    <w:next w:val="942"/>
    <w:link w:val="788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799"/>
    <w:next w:val="943"/>
    <w:link w:val="788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1"/>
    <w:basedOn w:val="799"/>
    <w:next w:val="944"/>
    <w:link w:val="788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2"/>
    <w:basedOn w:val="799"/>
    <w:next w:val="945"/>
    <w:link w:val="788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3"/>
    <w:basedOn w:val="799"/>
    <w:next w:val="946"/>
    <w:link w:val="788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4"/>
    <w:basedOn w:val="799"/>
    <w:next w:val="947"/>
    <w:link w:val="788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5"/>
    <w:basedOn w:val="799"/>
    <w:next w:val="948"/>
    <w:link w:val="788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6"/>
    <w:basedOn w:val="799"/>
    <w:next w:val="949"/>
    <w:link w:val="788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799"/>
    <w:next w:val="950"/>
    <w:link w:val="788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799"/>
    <w:next w:val="951"/>
    <w:link w:val="788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799"/>
    <w:next w:val="952"/>
    <w:link w:val="788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799"/>
    <w:next w:val="953"/>
    <w:link w:val="788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799"/>
    <w:next w:val="954"/>
    <w:link w:val="788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799"/>
    <w:next w:val="955"/>
    <w:link w:val="788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 - Accent 1"/>
    <w:basedOn w:val="799"/>
    <w:next w:val="956"/>
    <w:link w:val="788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2"/>
    <w:basedOn w:val="799"/>
    <w:next w:val="957"/>
    <w:link w:val="788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3"/>
    <w:basedOn w:val="799"/>
    <w:next w:val="958"/>
    <w:link w:val="788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4"/>
    <w:basedOn w:val="799"/>
    <w:next w:val="959"/>
    <w:link w:val="788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5"/>
    <w:basedOn w:val="799"/>
    <w:next w:val="960"/>
    <w:link w:val="788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6"/>
    <w:basedOn w:val="799"/>
    <w:next w:val="961"/>
    <w:link w:val="788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6 Colorful - Accent 1"/>
    <w:basedOn w:val="799"/>
    <w:next w:val="962"/>
    <w:link w:val="788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 - Accent 2"/>
    <w:basedOn w:val="799"/>
    <w:next w:val="963"/>
    <w:link w:val="788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3"/>
    <w:basedOn w:val="799"/>
    <w:next w:val="964"/>
    <w:link w:val="788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4"/>
    <w:basedOn w:val="799"/>
    <w:next w:val="965"/>
    <w:link w:val="788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5"/>
    <w:basedOn w:val="799"/>
    <w:next w:val="966"/>
    <w:link w:val="788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6"/>
    <w:basedOn w:val="799"/>
    <w:next w:val="967"/>
    <w:link w:val="788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7 Colorful - Accent 1"/>
    <w:basedOn w:val="799"/>
    <w:next w:val="968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7 Colorful - Accent 2"/>
    <w:basedOn w:val="799"/>
    <w:next w:val="969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 - Accent 3"/>
    <w:basedOn w:val="799"/>
    <w:next w:val="970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4"/>
    <w:basedOn w:val="799"/>
    <w:next w:val="971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5"/>
    <w:basedOn w:val="799"/>
    <w:next w:val="972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6"/>
    <w:basedOn w:val="799"/>
    <w:next w:val="973"/>
    <w:link w:val="788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ned - Accent"/>
    <w:basedOn w:val="799"/>
    <w:next w:val="974"/>
    <w:link w:val="788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&amp; Lined - Accent"/>
    <w:basedOn w:val="799"/>
    <w:next w:val="975"/>
    <w:link w:val="788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6">
    <w:name w:val="Заголовок 1 Знак"/>
    <w:next w:val="976"/>
    <w:link w:val="789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77">
    <w:name w:val="Заголовок 2 Знак"/>
    <w:next w:val="977"/>
    <w:link w:val="790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78">
    <w:name w:val="Заголовок 3 Знак"/>
    <w:next w:val="978"/>
    <w:link w:val="791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79">
    <w:name w:val="Заголовок 4 Знак"/>
    <w:next w:val="979"/>
    <w:link w:val="792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80">
    <w:name w:val="Заголовок 5 Знак"/>
    <w:next w:val="980"/>
    <w:link w:val="793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81">
    <w:name w:val="Заголовок 6 Знак"/>
    <w:next w:val="981"/>
    <w:link w:val="79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82">
    <w:name w:val="Заголовок 7 Знак"/>
    <w:next w:val="982"/>
    <w:link w:val="79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83">
    <w:name w:val="Заголовок 8 Знак"/>
    <w:next w:val="983"/>
    <w:link w:val="79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84">
    <w:name w:val="Заголовок 9 Знак"/>
    <w:next w:val="984"/>
    <w:link w:val="79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85">
    <w:name w:val="Абзац списку"/>
    <w:basedOn w:val="788"/>
    <w:next w:val="985"/>
    <w:link w:val="788"/>
    <w:uiPriority w:val="34"/>
    <w:qFormat/>
    <w:pPr>
      <w:pBdr/>
      <w:spacing/>
      <w:ind w:left="720"/>
      <w:contextualSpacing w:val="true"/>
    </w:pPr>
  </w:style>
  <w:style w:type="paragraph" w:styleId="986">
    <w:name w:val="Без інтервалів"/>
    <w:next w:val="986"/>
    <w:link w:val="788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87">
    <w:name w:val="Назва Знак"/>
    <w:next w:val="987"/>
    <w:link w:val="847"/>
    <w:uiPriority w:val="10"/>
    <w:pPr>
      <w:pBdr/>
      <w:spacing/>
      <w:ind/>
    </w:pPr>
    <w:rPr>
      <w:sz w:val="48"/>
      <w:szCs w:val="48"/>
    </w:rPr>
  </w:style>
  <w:style w:type="character" w:styleId="988">
    <w:name w:val="Підзаголовок Знак"/>
    <w:next w:val="988"/>
    <w:link w:val="849"/>
    <w:uiPriority w:val="11"/>
    <w:pPr>
      <w:pBdr/>
      <w:spacing/>
      <w:ind/>
    </w:pPr>
    <w:rPr>
      <w:sz w:val="24"/>
      <w:szCs w:val="24"/>
    </w:rPr>
  </w:style>
  <w:style w:type="paragraph" w:styleId="989">
    <w:name w:val="Цитата"/>
    <w:basedOn w:val="788"/>
    <w:next w:val="788"/>
    <w:link w:val="990"/>
    <w:uiPriority w:val="29"/>
    <w:qFormat/>
    <w:pPr>
      <w:pBdr/>
      <w:spacing/>
      <w:ind w:right="720" w:left="720"/>
    </w:pPr>
    <w:rPr>
      <w:i/>
    </w:rPr>
  </w:style>
  <w:style w:type="character" w:styleId="990">
    <w:name w:val="Цитата Знак"/>
    <w:next w:val="990"/>
    <w:link w:val="989"/>
    <w:uiPriority w:val="29"/>
    <w:pPr>
      <w:pBdr/>
      <w:spacing/>
      <w:ind/>
    </w:pPr>
    <w:rPr>
      <w:i/>
    </w:rPr>
  </w:style>
  <w:style w:type="paragraph" w:styleId="991">
    <w:name w:val="Насичена цитата"/>
    <w:basedOn w:val="788"/>
    <w:next w:val="788"/>
    <w:link w:val="99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92">
    <w:name w:val="Насичена цитата Знак"/>
    <w:next w:val="992"/>
    <w:link w:val="991"/>
    <w:uiPriority w:val="30"/>
    <w:pPr>
      <w:pBdr/>
      <w:spacing/>
      <w:ind/>
    </w:pPr>
    <w:rPr>
      <w:i/>
    </w:rPr>
  </w:style>
  <w:style w:type="character" w:styleId="993">
    <w:name w:val="Верхній колонтитул Знак"/>
    <w:basedOn w:val="798"/>
    <w:next w:val="993"/>
    <w:link w:val="837"/>
    <w:uiPriority w:val="99"/>
    <w:pPr>
      <w:pBdr/>
      <w:spacing/>
      <w:ind/>
    </w:pPr>
  </w:style>
  <w:style w:type="character" w:styleId="994">
    <w:name w:val="Нижній колонтитул Знак"/>
    <w:basedOn w:val="798"/>
    <w:next w:val="994"/>
    <w:link w:val="848"/>
    <w:uiPriority w:val="99"/>
    <w:pPr>
      <w:pBdr/>
      <w:spacing/>
      <w:ind/>
    </w:pPr>
  </w:style>
  <w:style w:type="table" w:styleId="995">
    <w:name w:val="Lined"/>
    <w:basedOn w:val="799"/>
    <w:next w:val="995"/>
    <w:link w:val="788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ned - Accent 1"/>
    <w:basedOn w:val="799"/>
    <w:next w:val="996"/>
    <w:link w:val="788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ned - Accent 2"/>
    <w:basedOn w:val="799"/>
    <w:next w:val="997"/>
    <w:link w:val="788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ned - Accent 3"/>
    <w:basedOn w:val="799"/>
    <w:next w:val="998"/>
    <w:link w:val="788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ned - Accent 4"/>
    <w:basedOn w:val="799"/>
    <w:next w:val="999"/>
    <w:link w:val="788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ned - Accent 5"/>
    <w:basedOn w:val="799"/>
    <w:next w:val="1000"/>
    <w:link w:val="788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ned - Accent 6"/>
    <w:basedOn w:val="799"/>
    <w:next w:val="1001"/>
    <w:link w:val="788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Bordered"/>
    <w:basedOn w:val="799"/>
    <w:next w:val="1002"/>
    <w:link w:val="788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Bordered - Accent 1"/>
    <w:basedOn w:val="799"/>
    <w:next w:val="1003"/>
    <w:link w:val="788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Bordered - Accent 2"/>
    <w:basedOn w:val="799"/>
    <w:next w:val="1004"/>
    <w:link w:val="788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Bordered - Accent 3"/>
    <w:basedOn w:val="799"/>
    <w:next w:val="1005"/>
    <w:link w:val="788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Bordered - Accent 4"/>
    <w:basedOn w:val="799"/>
    <w:next w:val="1006"/>
    <w:link w:val="788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Bordered - Accent 5"/>
    <w:basedOn w:val="799"/>
    <w:next w:val="1007"/>
    <w:link w:val="788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 - Accent 6"/>
    <w:basedOn w:val="799"/>
    <w:next w:val="1008"/>
    <w:link w:val="788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&amp; Lined"/>
    <w:basedOn w:val="799"/>
    <w:next w:val="1009"/>
    <w:link w:val="788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&amp; Lined - Accent 1"/>
    <w:basedOn w:val="799"/>
    <w:next w:val="1010"/>
    <w:link w:val="788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&amp; Lined - Accent 2"/>
    <w:basedOn w:val="799"/>
    <w:next w:val="1011"/>
    <w:link w:val="788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&amp; Lined - Accent 3"/>
    <w:basedOn w:val="799"/>
    <w:next w:val="1012"/>
    <w:link w:val="788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&amp; Lined - Accent 4"/>
    <w:basedOn w:val="799"/>
    <w:next w:val="1013"/>
    <w:link w:val="788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&amp; Lined - Accent 5"/>
    <w:basedOn w:val="799"/>
    <w:next w:val="1014"/>
    <w:link w:val="788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&amp; Lined - Accent 6"/>
    <w:basedOn w:val="799"/>
    <w:next w:val="1015"/>
    <w:link w:val="788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6">
    <w:name w:val="Текст виноски Знак"/>
    <w:next w:val="1016"/>
    <w:link w:val="835"/>
    <w:uiPriority w:val="99"/>
    <w:pPr>
      <w:pBdr/>
      <w:spacing/>
      <w:ind/>
    </w:pPr>
    <w:rPr>
      <w:sz w:val="18"/>
    </w:rPr>
  </w:style>
  <w:style w:type="paragraph" w:styleId="1017">
    <w:name w:val="Заголовок оглавления1"/>
    <w:next w:val="1017"/>
    <w:link w:val="788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18">
    <w:name w:val="Текст у виносці Знак"/>
    <w:next w:val="1018"/>
    <w:link w:val="832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19">
    <w:name w:val="docdata"/>
    <w:basedOn w:val="788"/>
    <w:next w:val="1019"/>
    <w:link w:val="788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20">
    <w:name w:val="docy"/>
    <w:basedOn w:val="798"/>
    <w:next w:val="1020"/>
    <w:link w:val="78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51</cp:revision>
  <dcterms:created xsi:type="dcterms:W3CDTF">2026-02-06T08:27:00Z</dcterms:created>
  <dcterms:modified xsi:type="dcterms:W3CDTF">2026-06-23T07:20:39Z</dcterms:modified>
  <cp:version>1048576</cp:version>
</cp:coreProperties>
</file>