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1"/>
        <w:pBdr/>
        <w:spacing w:after="0" w:afterAutospacing="0" w:before="142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spacing w:after="0" w:afterAutospacing="0" w:before="142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spacing w:after="0" w:afterAutospacing="0" w:before="142" w:before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3"/>
        <w:pBdr/>
        <w:spacing w:after="0" w:afterAutospacing="0" w:before="142" w:before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392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142" w:beforeAutospacing="0"/>
        <w:ind w:right="5386" w:firstLine="0" w:left="0"/>
        <w:jc w:val="left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в оренду ТОВ «Агроресурс-2006» невитребуваних земельних ділянок (паїв)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after="0" w:afterAutospacing="0" w:before="142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ТОВ «Агроресурс-2006»(код ЄДРПОУ – 34224599) С.М.Незгоди щодо укладання договорів оренди землі на невитребувані земельні ділянки загальною площею 26,5293 га (рілля) за межами с. Блистова, загальною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лощею 28,4664 га (рілля) </w:t>
      </w:r>
      <w:r>
        <w:rPr>
          <w:sz w:val="28"/>
          <w:szCs w:val="28"/>
        </w:rPr>
        <w:t xml:space="preserve">та земельну ділянку площею 0,6653 га з кадастровим номером 7423081500:02:000:0390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під проектно-польовими дорогами за межами с. Бірківка  для ведення товарного сільськогосподарського виробництва (код КВЦПЗ 01.01), керуючись ст. ст. 12, 93, 116, 122, 123, 124, 134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ст.19 Закону України «Про оренду землі», </w:t>
      </w:r>
      <w:r>
        <w:rPr>
          <w:sz w:val="28"/>
          <w:szCs w:val="28"/>
        </w:rPr>
        <w:t xml:space="preserve">ст.13 Закону України «Про порядок виділення в натурі (на місцевості) земельних ділянок  власникам земельних часток (паїв)»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ст.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37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Земельного кодексу України,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 рішенням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48 сесії Менської міської ради 8 скликання від 29 травня 2024 року №293 «Про затвердження ставок орендної пла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 w:after="57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в оренду ТОВ «Аг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роресурс-2006» невитребувані земельні ділянки зага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льною площею 26,5293 га (рілля),  за межами с. Блистова (додаток 1) та загальною площею 28,4664 га (рілля) за межами с. Бірківка (додаток 2) для ведення товарного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сільськогосподарського виробництва (код КВЦПЗ 01.01), строком на 7 років.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 w:after="57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в оренду ТОВ «Аг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роресурс-2006»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земельну ділянку площею 0,6653 га з кадастровим номером 7423081500:02:000:0390 під проектно-польовими дорогами (рілля) за межами с. Бірківка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ведення товарного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сільськогосподарського виробництва (код КВЦПЗ 01.01), строком на 7 років.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 w:after="57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встановити у розмірі 8% від нормативної грошової оцінки земельних ділянок зазначених в додатках до пункту 1 та земельної ділянки зазначеної в пункті 2 цього рішення відповідно.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 w:after="57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«Агроресурс-2006» оформити договори оренди невитребуваних земельних ділянок (паїв) на земельні ділянки, зазначені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додатках до пункту 1 та на земельну ділянку зазначену в пункті 2 цього рішення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 здійснити реєстрацію права оренди відповідно до вимог чинного законодавства.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 w:after="57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директора ТОВ «Агроресурс-2006» в установленому законом порядку.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 за виконанням рішення покласти на  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2026-06-20T13:26:58Z</dcterms:modified>
</cp:coreProperties>
</file>