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присвоєння рангу посадової особи місцевого самоврядування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тимчасово виконуючому обов’язки на посаді старости Куковицького старостинського округу Менської міської ради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статей 14, 15 Закону України «Про службу в органах місцевого самоврядування», постанови Кабінету Міністрів України від 09 березня 2006 року № 268 «Про впорядкування структури умов оплати праці працівників апарату органів виконавчої влади, 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ганів прокуратури, судів та інших органів» зі змінами та доповненнями, враховуючи розпорядження міського голови від 27.05.2026 № 217 – «К» «Про призначення на посаду», керуючись статтею 26 Закону України «Про місцеве самоврядування в Україні» Менська міськ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зв’я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зку з призначенням на посаду, присвоїти Сидоренко Наталії Михайлівні, тимчасово виконуючому обов’язки на посаді старости Куковицького старостинського округу Менської міської ради 11 ранг посадової особи місцевого самоврядування в межах V категорії посад з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Відділу бухгалтерського обліку та звітності Менської міської ради забезпечити нарахування та виплату коштів відповідно до присвоєного рангу.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даного рішення покласти на керуючого справами вико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навчого комітету Менської міської ради Стародуб Л.О.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2026-06-22T05:14:15Z</dcterms:modified>
</cp:coreProperties>
</file>