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line="240" w:lineRule="auto"/>
        <w:ind w:left="5669"/>
        <w:jc w:val="both"/>
        <w:rPr>
          <w:rFonts w:ascii="Times New Roman" w:hAnsi="Times New Roman" w:cs="Times New Roman"/>
          <w:sz w:val="24"/>
          <w:szCs w:val="24"/>
        </w:rPr>
      </w:pPr>
      <w:r>
        <w:rPr>
          <w:rFonts w:ascii="Times New Roman" w:hAnsi="Times New Roman" w:cs="Times New Roman"/>
          <w:sz w:val="24"/>
          <w:szCs w:val="24"/>
        </w:rPr>
        <w:t xml:space="preserve">Додаток </w:t>
      </w:r>
      <w:r>
        <w:rPr>
          <w:rFonts w:ascii="Times New Roman" w:hAnsi="Times New Roman" w:cs="Times New Roman"/>
          <w:sz w:val="24"/>
          <w:szCs w:val="24"/>
        </w:rPr>
      </w:r>
      <w:r>
        <w:rPr>
          <w:rFonts w:ascii="Times New Roman" w:hAnsi="Times New Roman" w:cs="Times New Roman"/>
          <w:sz w:val="24"/>
          <w:szCs w:val="24"/>
        </w:rPr>
      </w:r>
    </w:p>
    <w:p>
      <w:pPr>
        <w:pBdr/>
        <w:spacing w:after="0" w:line="240" w:lineRule="auto"/>
        <w:ind w:left="5669"/>
        <w:jc w:val="both"/>
        <w:rPr>
          <w:rFonts w:ascii="Times New Roman" w:hAnsi="Times New Roman" w:cs="Times New Roman"/>
          <w:sz w:val="24"/>
          <w:szCs w:val="24"/>
        </w:rPr>
      </w:pPr>
      <w:r>
        <w:rPr>
          <w:rFonts w:ascii="Times New Roman" w:hAnsi="Times New Roman" w:cs="Times New Roman"/>
          <w:sz w:val="24"/>
          <w:szCs w:val="24"/>
        </w:rPr>
        <w:t xml:space="preserve">до рішення 7</w:t>
      </w:r>
      <w:bookmarkStart w:id="0" w:name="_GoBack"/>
      <w:r>
        <w:rPr>
          <w:rFonts w:ascii="Times New Roman" w:hAnsi="Times New Roman" w:cs="Times New Roman"/>
          <w:sz w:val="24"/>
          <w:szCs w:val="24"/>
        </w:rPr>
        <w:t xml:space="preserve">4</w:t>
      </w:r>
      <w:bookmarkEnd w:id="0"/>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сесії</w:t>
      </w:r>
      <w:r>
        <w:rPr>
          <w:rFonts w:ascii="Times New Roman" w:hAnsi="Times New Roman" w:cs="Times New Roman"/>
          <w:sz w:val="24"/>
          <w:szCs w:val="24"/>
        </w:rPr>
      </w:r>
      <w:r>
        <w:rPr>
          <w:rFonts w:ascii="Times New Roman" w:hAnsi="Times New Roman" w:cs="Times New Roman"/>
          <w:sz w:val="24"/>
          <w:szCs w:val="24"/>
        </w:rPr>
      </w:r>
    </w:p>
    <w:p>
      <w:pPr>
        <w:pBdr/>
        <w:spacing w:after="0" w:line="240" w:lineRule="auto"/>
        <w:ind w:left="5669"/>
        <w:jc w:val="both"/>
        <w:rPr>
          <w:rFonts w:ascii="Times New Roman" w:hAnsi="Times New Roman" w:cs="Times New Roman"/>
          <w:sz w:val="24"/>
          <w:szCs w:val="24"/>
        </w:rPr>
      </w:pPr>
      <w:r>
        <w:rPr>
          <w:rFonts w:ascii="Times New Roman" w:hAnsi="Times New Roman" w:cs="Times New Roman"/>
          <w:sz w:val="24"/>
          <w:szCs w:val="24"/>
        </w:rPr>
        <w:t xml:space="preserve">Менської міської ради 8 скликання</w:t>
      </w:r>
      <w:r>
        <w:rPr>
          <w:rFonts w:ascii="Times New Roman" w:hAnsi="Times New Roman" w:cs="Times New Roman"/>
          <w:sz w:val="24"/>
          <w:szCs w:val="24"/>
        </w:rPr>
      </w:r>
      <w:r>
        <w:rPr>
          <w:rFonts w:ascii="Times New Roman" w:hAnsi="Times New Roman" w:cs="Times New Roman"/>
          <w:sz w:val="24"/>
          <w:szCs w:val="24"/>
        </w:rPr>
      </w:r>
    </w:p>
    <w:p>
      <w:pPr>
        <w:pBdr/>
        <w:spacing w:after="0" w:line="240" w:lineRule="auto"/>
        <w:ind/>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19 червня</w:t>
      </w:r>
      <w:r>
        <w:rPr>
          <w:rFonts w:ascii="Times New Roman" w:hAnsi="Times New Roman" w:cs="Times New Roman"/>
          <w:sz w:val="24"/>
          <w:szCs w:val="24"/>
        </w:rPr>
        <w:t xml:space="preserve"> 2026 року № </w:t>
      </w:r>
      <w:r>
        <w:rPr>
          <w:rFonts w:ascii="Times New Roman" w:hAnsi="Times New Roman" w:cs="Times New Roman"/>
          <w:sz w:val="24"/>
          <w:szCs w:val="24"/>
        </w:rPr>
        <w:t xml:space="preserve">353 </w:t>
      </w:r>
      <w:r>
        <w:rPr>
          <w:rFonts w:ascii="Times New Roman" w:hAnsi="Times New Roman" w:cs="Times New Roman"/>
          <w:sz w:val="24"/>
          <w:szCs w:val="24"/>
        </w:rPr>
      </w:r>
      <w:r>
        <w:rPr>
          <w:rFonts w:ascii="Times New Roman" w:hAnsi="Times New Roman" w:cs="Times New Roman"/>
          <w:sz w:val="24"/>
          <w:szCs w:val="24"/>
        </w:rPr>
      </w:r>
    </w:p>
    <w:p>
      <w:pPr>
        <w:pBdr/>
        <w:spacing w:after="0" w:line="240" w:lineRule="auto"/>
        <w:ind/>
        <w:jc w:val="both"/>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Bdr/>
        <w:spacing w:after="0" w:line="240" w:lineRule="auto"/>
        <w:ind/>
        <w:jc w:val="both"/>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Bdr/>
        <w:spacing w:after="0" w:line="240" w:lineRule="auto"/>
        <w:ind/>
        <w:jc w:val="both"/>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Bdr/>
        <w:spacing w:after="0" w:line="240" w:lineRule="auto"/>
        <w:ind/>
        <w:jc w:val="both"/>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Bdr/>
        <w:spacing w:after="0" w:line="240" w:lineRule="auto"/>
        <w:ind/>
        <w:jc w:val="both"/>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Bdr/>
        <w:spacing w:after="0" w:line="240" w:lineRule="auto"/>
        <w:ind/>
        <w:jc w:val="both"/>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Bdr/>
        <w:spacing w:after="0" w:line="240" w:lineRule="auto"/>
        <w:ind/>
        <w:jc w:val="both"/>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Bdr/>
        <w:spacing w:after="0" w:line="240" w:lineRule="auto"/>
        <w:ind/>
        <w:jc w:val="both"/>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Bdr/>
        <w:spacing w:after="0" w:line="240" w:lineRule="auto"/>
        <w:ind/>
        <w:jc w:val="both"/>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Bdr/>
        <w:spacing w:after="0" w:line="240" w:lineRule="auto"/>
        <w:ind/>
        <w:jc w:val="both"/>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Bdr/>
        <w:spacing w:after="0" w:line="240" w:lineRule="auto"/>
        <w:ind/>
        <w:jc w:val="both"/>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Bdr/>
        <w:spacing w:after="0" w:line="240" w:lineRule="auto"/>
        <w:ind/>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center"/>
        <w:rPr>
          <w:rFonts w:ascii="Times New Roman" w:hAnsi="Times New Roman" w:cs="Times New Roman"/>
          <w:b/>
          <w:sz w:val="28"/>
          <w:szCs w:val="28"/>
        </w:rPr>
      </w:pPr>
      <w:r>
        <w:rPr>
          <w:rFonts w:ascii="Times New Roman" w:hAnsi="Times New Roman" w:cs="Times New Roman"/>
          <w:b/>
          <w:sz w:val="28"/>
          <w:szCs w:val="28"/>
        </w:rPr>
        <w:t xml:space="preserve">КОМПЛЕКСНА ПРОГРАМА </w:t>
      </w:r>
      <w:r>
        <w:rPr>
          <w:rFonts w:ascii="Times New Roman" w:hAnsi="Times New Roman" w:cs="Times New Roman"/>
          <w:b/>
          <w:sz w:val="28"/>
          <w:szCs w:val="28"/>
        </w:rPr>
      </w:r>
      <w:r>
        <w:rPr>
          <w:rFonts w:ascii="Times New Roman" w:hAnsi="Times New Roman" w:cs="Times New Roman"/>
          <w:b/>
          <w:sz w:val="28"/>
          <w:szCs w:val="28"/>
        </w:rPr>
      </w:r>
    </w:p>
    <w:p>
      <w:pPr>
        <w:pBdr/>
        <w:spacing w:after="0" w:line="240" w:lineRule="auto"/>
        <w:ind/>
        <w:jc w:val="center"/>
        <w:rPr>
          <w:rFonts w:ascii="Times New Roman" w:hAnsi="Times New Roman" w:cs="Times New Roman"/>
          <w:b/>
          <w:sz w:val="28"/>
          <w:szCs w:val="28"/>
        </w:rPr>
      </w:pPr>
      <w:r>
        <w:rPr>
          <w:rFonts w:ascii="Times New Roman" w:hAnsi="Times New Roman" w:cs="Times New Roman"/>
          <w:b/>
          <w:sz w:val="28"/>
          <w:szCs w:val="28"/>
        </w:rPr>
        <w:t xml:space="preserve">підт</w:t>
      </w:r>
      <w:r>
        <w:rPr>
          <w:rFonts w:ascii="Times New Roman" w:hAnsi="Times New Roman" w:cs="Times New Roman"/>
          <w:b/>
          <w:sz w:val="28"/>
          <w:szCs w:val="28"/>
        </w:rPr>
        <w:t xml:space="preserve">римки ветеранів війни, членів їх сімей, членів сімей загиблих (померлих) ветеранів війни, членів сімей загиблих (померлих) Захисників і Захисниць України, членів сімей особи, зниклої безвісти за особливих обставин,  Менської міської територіальної громади </w:t>
      </w:r>
      <w:r>
        <w:rPr>
          <w:rFonts w:ascii="Times New Roman" w:hAnsi="Times New Roman" w:cs="Times New Roman"/>
          <w:b/>
          <w:sz w:val="28"/>
          <w:szCs w:val="28"/>
        </w:rPr>
      </w:r>
      <w:r>
        <w:rPr>
          <w:rFonts w:ascii="Times New Roman" w:hAnsi="Times New Roman" w:cs="Times New Roman"/>
          <w:b/>
          <w:sz w:val="28"/>
          <w:szCs w:val="28"/>
        </w:rPr>
      </w:r>
    </w:p>
    <w:p>
      <w:pPr>
        <w:pBdr/>
        <w:spacing w:after="0" w:line="240" w:lineRule="auto"/>
        <w:ind/>
        <w:jc w:val="center"/>
        <w:rPr>
          <w:rFonts w:ascii="Times New Roman" w:hAnsi="Times New Roman" w:cs="Times New Roman"/>
          <w:b/>
          <w:sz w:val="28"/>
          <w:szCs w:val="28"/>
        </w:rPr>
      </w:pPr>
      <w:r>
        <w:rPr>
          <w:rFonts w:ascii="Times New Roman" w:hAnsi="Times New Roman" w:cs="Times New Roman"/>
          <w:b/>
          <w:sz w:val="28"/>
          <w:szCs w:val="28"/>
        </w:rPr>
        <w:t xml:space="preserve">на 2026 – 2028 роки</w:t>
      </w:r>
      <w:r>
        <w:rPr>
          <w:rFonts w:ascii="Times New Roman" w:hAnsi="Times New Roman" w:cs="Times New Roman"/>
          <w:b/>
          <w:sz w:val="28"/>
          <w:szCs w:val="28"/>
        </w:rPr>
        <w:t xml:space="preserve"> в новій редакції</w:t>
      </w:r>
      <w:r>
        <w:rPr>
          <w:rFonts w:ascii="Times New Roman" w:hAnsi="Times New Roman" w:cs="Times New Roman"/>
          <w:b/>
          <w:sz w:val="28"/>
          <w:szCs w:val="28"/>
        </w:rPr>
      </w:r>
      <w:r>
        <w:rPr>
          <w:rFonts w:ascii="Times New Roman" w:hAnsi="Times New Roman" w:cs="Times New Roman"/>
          <w:b/>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center"/>
        <w:rPr>
          <w:rFonts w:ascii="Times New Roman" w:hAnsi="Times New Roman" w:cs="Times New Roman"/>
          <w:sz w:val="28"/>
          <w:szCs w:val="28"/>
          <w:lang w:val="ru-RU"/>
        </w:rPr>
      </w:pPr>
      <w:r>
        <w:rPr>
          <w:rFonts w:ascii="Times New Roman" w:hAnsi="Times New Roman" w:cs="Times New Roman"/>
          <w:sz w:val="28"/>
          <w:szCs w:val="28"/>
          <w:lang w:val="ru-RU"/>
        </w:rPr>
      </w:r>
      <w:r>
        <w:rPr>
          <w:rFonts w:ascii="Times New Roman" w:hAnsi="Times New Roman" w:cs="Times New Roman"/>
          <w:sz w:val="28"/>
          <w:szCs w:val="28"/>
          <w:lang w:val="ru-RU"/>
        </w:rPr>
      </w:r>
      <w:r>
        <w:rPr>
          <w:rFonts w:ascii="Times New Roman" w:hAnsi="Times New Roman" w:cs="Times New Roman"/>
          <w:sz w:val="28"/>
          <w:szCs w:val="28"/>
          <w:lang w:val="ru-RU"/>
        </w:rPr>
      </w:r>
    </w:p>
    <w:p>
      <w:pPr>
        <w:pBdr/>
        <w:spacing w:after="0" w:line="240" w:lineRule="auto"/>
        <w:ind/>
        <w:jc w:val="center"/>
        <w:rPr>
          <w:rFonts w:ascii="Times New Roman" w:hAnsi="Times New Roman" w:cs="Times New Roman"/>
          <w:sz w:val="28"/>
          <w:szCs w:val="28"/>
          <w:lang w:val="ru-RU"/>
        </w:rPr>
      </w:pPr>
      <w:r>
        <w:rPr>
          <w:rFonts w:ascii="Times New Roman" w:hAnsi="Times New Roman" w:cs="Times New Roman"/>
          <w:sz w:val="28"/>
          <w:szCs w:val="28"/>
          <w:lang w:val="ru-RU"/>
        </w:rPr>
      </w:r>
      <w:r>
        <w:rPr>
          <w:rFonts w:ascii="Times New Roman" w:hAnsi="Times New Roman" w:cs="Times New Roman"/>
          <w:sz w:val="28"/>
          <w:szCs w:val="28"/>
          <w:lang w:val="ru-RU"/>
        </w:rPr>
      </w:r>
      <w:r>
        <w:rPr>
          <w:rFonts w:ascii="Times New Roman" w:hAnsi="Times New Roman" w:cs="Times New Roman"/>
          <w:sz w:val="28"/>
          <w:szCs w:val="28"/>
          <w:lang w:val="ru-RU"/>
        </w:rPr>
      </w:r>
    </w:p>
    <w:p>
      <w:pPr>
        <w:pBdr/>
        <w:spacing w:after="0" w:line="240" w:lineRule="auto"/>
        <w:ind/>
        <w:jc w:val="center"/>
        <w:rPr>
          <w:rFonts w:ascii="Times New Roman" w:hAnsi="Times New Roman" w:cs="Times New Roman"/>
          <w:sz w:val="28"/>
          <w:szCs w:val="28"/>
          <w:lang w:val="ru-RU"/>
        </w:rPr>
      </w:pPr>
      <w:r>
        <w:rPr>
          <w:rFonts w:ascii="Times New Roman" w:hAnsi="Times New Roman" w:cs="Times New Roman"/>
          <w:sz w:val="28"/>
          <w:szCs w:val="28"/>
          <w:lang w:val="ru-RU"/>
        </w:rPr>
      </w:r>
      <w:r>
        <w:rPr>
          <w:rFonts w:ascii="Times New Roman" w:hAnsi="Times New Roman" w:cs="Times New Roman"/>
          <w:sz w:val="28"/>
          <w:szCs w:val="28"/>
          <w:lang w:val="ru-RU"/>
        </w:rPr>
      </w:r>
      <w:r>
        <w:rPr>
          <w:rFonts w:ascii="Times New Roman" w:hAnsi="Times New Roman" w:cs="Times New Roman"/>
          <w:sz w:val="28"/>
          <w:szCs w:val="28"/>
          <w:lang w:val="ru-RU"/>
        </w:rPr>
      </w:r>
    </w:p>
    <w:p>
      <w:pPr>
        <w:pBdr/>
        <w:spacing w:after="0" w:line="240" w:lineRule="auto"/>
        <w:ind/>
        <w:rPr>
          <w:rFonts w:ascii="Times New Roman" w:hAnsi="Times New Roman" w:cs="Times New Roman"/>
          <w:sz w:val="28"/>
          <w:szCs w:val="28"/>
          <w:lang w:val="ru-RU"/>
        </w:rPr>
      </w:pPr>
      <w:r>
        <w:rPr>
          <w:rFonts w:ascii="Times New Roman" w:hAnsi="Times New Roman" w:cs="Times New Roman"/>
          <w:sz w:val="28"/>
          <w:szCs w:val="28"/>
          <w:lang w:val="ru-RU"/>
        </w:rPr>
      </w:r>
      <w:r>
        <w:rPr>
          <w:rFonts w:ascii="Times New Roman" w:hAnsi="Times New Roman" w:cs="Times New Roman"/>
          <w:sz w:val="28"/>
          <w:szCs w:val="28"/>
          <w:lang w:val="ru-RU"/>
        </w:rPr>
      </w:r>
      <w:r>
        <w:rPr>
          <w:rFonts w:ascii="Times New Roman" w:hAnsi="Times New Roman" w:cs="Times New Roman"/>
          <w:sz w:val="28"/>
          <w:szCs w:val="28"/>
          <w:lang w:val="ru-RU"/>
        </w:rPr>
      </w:r>
    </w:p>
    <w:p>
      <w:pPr>
        <w:pBdr/>
        <w:spacing w:after="0" w:line="240" w:lineRule="auto"/>
        <w:ind/>
        <w:jc w:val="center"/>
        <w:rPr>
          <w:rFonts w:ascii="Times New Roman" w:hAnsi="Times New Roman" w:cs="Times New Roman"/>
          <w:sz w:val="28"/>
          <w:szCs w:val="28"/>
          <w:lang w:val="ru-RU"/>
        </w:rPr>
      </w:pPr>
      <w:r>
        <w:rPr>
          <w:rFonts w:ascii="Times New Roman" w:hAnsi="Times New Roman" w:cs="Times New Roman"/>
          <w:sz w:val="28"/>
          <w:szCs w:val="28"/>
          <w:lang w:val="ru-RU"/>
        </w:rPr>
      </w:r>
      <w:r>
        <w:rPr>
          <w:rFonts w:ascii="Times New Roman" w:hAnsi="Times New Roman" w:cs="Times New Roman"/>
          <w:sz w:val="28"/>
          <w:szCs w:val="28"/>
          <w:lang w:val="ru-RU"/>
        </w:rPr>
      </w:r>
      <w:r>
        <w:rPr>
          <w:rFonts w:ascii="Times New Roman" w:hAnsi="Times New Roman" w:cs="Times New Roman"/>
          <w:sz w:val="28"/>
          <w:szCs w:val="28"/>
          <w:lang w:val="ru-RU"/>
        </w:rPr>
      </w:r>
    </w:p>
    <w:p>
      <w:pPr>
        <w:pBdr/>
        <w:spacing w:after="0" w:line="240" w:lineRule="auto"/>
        <w:ind/>
        <w:jc w:val="center"/>
        <w:rPr>
          <w:rFonts w:ascii="Times New Roman" w:hAnsi="Times New Roman" w:cs="Times New Roman"/>
          <w:sz w:val="28"/>
          <w:szCs w:val="28"/>
          <w:lang w:val="ru-RU"/>
        </w:rPr>
      </w:pPr>
      <w:r>
        <w:rPr>
          <w:rFonts w:ascii="Times New Roman" w:hAnsi="Times New Roman" w:cs="Times New Roman"/>
          <w:sz w:val="28"/>
          <w:szCs w:val="28"/>
          <w:lang w:val="ru-RU"/>
        </w:rPr>
      </w:r>
      <w:r>
        <w:rPr>
          <w:rFonts w:ascii="Times New Roman" w:hAnsi="Times New Roman" w:cs="Times New Roman"/>
          <w:sz w:val="28"/>
          <w:szCs w:val="28"/>
          <w:lang w:val="ru-RU"/>
        </w:rPr>
      </w:r>
      <w:r>
        <w:rPr>
          <w:rFonts w:ascii="Times New Roman" w:hAnsi="Times New Roman" w:cs="Times New Roman"/>
          <w:sz w:val="28"/>
          <w:szCs w:val="28"/>
          <w:lang w:val="ru-RU"/>
        </w:rPr>
      </w:r>
    </w:p>
    <w:p>
      <w:pPr>
        <w:pBdr/>
        <w:spacing w:after="0" w:line="240" w:lineRule="auto"/>
        <w:ind/>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м. Мена</w:t>
      </w:r>
      <w:r>
        <w:rPr>
          <w:rFonts w:ascii="Times New Roman" w:hAnsi="Times New Roman" w:cs="Times New Roman"/>
          <w:sz w:val="28"/>
          <w:szCs w:val="28"/>
          <w:lang w:val="ru-RU"/>
        </w:rPr>
      </w:r>
      <w:r>
        <w:rPr>
          <w:rFonts w:ascii="Times New Roman" w:hAnsi="Times New Roman" w:cs="Times New Roman"/>
          <w:sz w:val="28"/>
          <w:szCs w:val="28"/>
          <w:lang w:val="ru-RU"/>
        </w:rPr>
      </w:r>
    </w:p>
    <w:p>
      <w:pPr>
        <w:pBdr/>
        <w:spacing w:after="0" w:line="240" w:lineRule="auto"/>
        <w:ind/>
        <w:jc w:val="center"/>
        <w:rPr>
          <w:rFonts w:ascii="Times New Roman" w:hAnsi="Times New Roman" w:cs="Times New Roman"/>
          <w:sz w:val="28"/>
          <w:szCs w:val="28"/>
        </w:rPr>
      </w:pPr>
      <w:r>
        <w:rPr>
          <w:rFonts w:ascii="Times New Roman" w:hAnsi="Times New Roman" w:cs="Times New Roman"/>
          <w:sz w:val="28"/>
          <w:szCs w:val="28"/>
        </w:rPr>
        <w:t xml:space="preserve">2026 рік</w:t>
      </w:r>
      <w:r>
        <w:rPr>
          <w:rFonts w:ascii="Times New Roman" w:hAnsi="Times New Roman" w:cs="Times New Roman"/>
          <w:sz w:val="28"/>
          <w:szCs w:val="28"/>
        </w:rPr>
      </w:r>
      <w:r>
        <w:rPr>
          <w:rFonts w:ascii="Times New Roman" w:hAnsi="Times New Roman" w:cs="Times New Roman"/>
          <w:sz w:val="28"/>
          <w:szCs w:val="28"/>
        </w:rPr>
      </w:r>
    </w:p>
    <w:p>
      <w:pPr>
        <w:pBdr/>
        <w:spacing/>
        <w:ind/>
        <w:rPr>
          <w:rFonts w:ascii="Times New Roman" w:hAnsi="Times New Roman" w:cs="Times New Roman"/>
          <w:sz w:val="28"/>
          <w:szCs w:val="28"/>
        </w:rPr>
      </w:pPr>
      <w:r>
        <w:rPr>
          <w:rFonts w:ascii="Times New Roman" w:hAnsi="Times New Roman" w:cs="Times New Roman"/>
          <w:sz w:val="28"/>
          <w:szCs w:val="28"/>
        </w:rPr>
        <w:br w:type="page" w:clear="all"/>
      </w:r>
      <w:r>
        <w:rPr>
          <w:rFonts w:ascii="Times New Roman" w:hAnsi="Times New Roman" w:cs="Times New Roman"/>
          <w:sz w:val="28"/>
          <w:szCs w:val="28"/>
        </w:rPr>
      </w:r>
      <w:r>
        <w:rPr>
          <w:rFonts w:ascii="Times New Roman" w:hAnsi="Times New Roman" w:cs="Times New Roman"/>
          <w:sz w:val="28"/>
          <w:szCs w:val="28"/>
        </w:rPr>
      </w:r>
    </w:p>
    <w:p>
      <w:pPr>
        <w:pStyle w:val="969"/>
        <w:numPr>
          <w:ilvl w:val="0"/>
          <w:numId w:val="6"/>
        </w:numPr>
        <w:pBdr/>
        <w:spacing w:after="0" w:line="240" w:lineRule="auto"/>
        <w:ind/>
        <w:jc w:val="center"/>
        <w:rPr>
          <w:rFonts w:ascii="Times New Roman" w:hAnsi="Times New Roman" w:cs="Times New Roman"/>
          <w:b/>
          <w:sz w:val="28"/>
          <w:szCs w:val="28"/>
        </w:rPr>
      </w:pPr>
      <w:r>
        <w:rPr>
          <w:rFonts w:ascii="Times New Roman" w:hAnsi="Times New Roman" w:cs="Times New Roman"/>
          <w:b/>
          <w:sz w:val="28"/>
          <w:szCs w:val="28"/>
        </w:rPr>
        <w:t xml:space="preserve">ПАСПОРТ </w:t>
      </w:r>
      <w:r>
        <w:rPr>
          <w:rFonts w:ascii="Times New Roman" w:hAnsi="Times New Roman" w:cs="Times New Roman"/>
          <w:b/>
          <w:sz w:val="28"/>
          <w:szCs w:val="28"/>
        </w:rPr>
      </w:r>
      <w:r>
        <w:rPr>
          <w:rFonts w:ascii="Times New Roman" w:hAnsi="Times New Roman" w:cs="Times New Roman"/>
          <w:b/>
          <w:sz w:val="28"/>
          <w:szCs w:val="28"/>
        </w:rPr>
      </w:r>
    </w:p>
    <w:p>
      <w:pPr>
        <w:pStyle w:val="969"/>
        <w:pBdr/>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 xml:space="preserve">Комплексної програми під</w:t>
      </w:r>
      <w:r>
        <w:rPr>
          <w:rFonts w:ascii="Times New Roman" w:hAnsi="Times New Roman" w:cs="Times New Roman"/>
          <w:b/>
          <w:sz w:val="28"/>
          <w:szCs w:val="28"/>
        </w:rPr>
        <w:t xml:space="preserve">тримки ветеранів війни, членів їх сімей, членів сімей загиблих (померлих) ветеранів війни, членів сімей загиблих (померлих) Захисників і Захисниць України, членів сімей особи, зниклої безвісти за особливих обставин,  Менської міської територіальної громади</w:t>
      </w:r>
      <w:r>
        <w:rPr>
          <w:rFonts w:ascii="Times New Roman" w:hAnsi="Times New Roman" w:cs="Times New Roman"/>
          <w:b/>
          <w:sz w:val="28"/>
          <w:szCs w:val="28"/>
        </w:rPr>
      </w:r>
      <w:r>
        <w:rPr>
          <w:rFonts w:ascii="Times New Roman" w:hAnsi="Times New Roman" w:cs="Times New Roman"/>
          <w:b/>
          <w:sz w:val="28"/>
          <w:szCs w:val="28"/>
        </w:rPr>
      </w:r>
    </w:p>
    <w:p>
      <w:pPr>
        <w:pStyle w:val="969"/>
        <w:pBdr/>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 xml:space="preserve">на 2026 – 2028 роки</w:t>
      </w:r>
      <w:r>
        <w:rPr>
          <w:rFonts w:ascii="Times New Roman" w:hAnsi="Times New Roman" w:cs="Times New Roman"/>
          <w:b/>
          <w:sz w:val="28"/>
          <w:szCs w:val="28"/>
        </w:rPr>
      </w:r>
      <w:r>
        <w:rPr>
          <w:rFonts w:ascii="Times New Roman" w:hAnsi="Times New Roman" w:cs="Times New Roman"/>
          <w:b/>
          <w:sz w:val="28"/>
          <w:szCs w:val="28"/>
        </w:rPr>
      </w:r>
    </w:p>
    <w:p>
      <w:pPr>
        <w:pStyle w:val="969"/>
        <w:pBdr/>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tbl>
      <w:tblPr>
        <w:tblStyle w:val="964"/>
        <w:tblW w:w="0" w:type="auto"/>
        <w:tblBorders/>
        <w:tblLook w:val="04A0" w:firstRow="1" w:lastRow="0" w:firstColumn="1" w:lastColumn="0" w:noHBand="0" w:noVBand="1"/>
      </w:tblPr>
      <w:tblGrid>
        <w:gridCol w:w="426"/>
        <w:gridCol w:w="3510"/>
        <w:gridCol w:w="5918"/>
      </w:tblGrid>
      <w:tr>
        <w:trPr/>
        <w:tc>
          <w:tcPr>
            <w:tcBorders/>
            <w:tcW w:w="426" w:type="dxa"/>
            <w:textDirection w:val="lrTb"/>
            <w:noWrap w:val="false"/>
          </w:tcPr>
          <w:p>
            <w:pPr>
              <w:pBdr/>
              <w:spacing/>
              <w:ind/>
              <w:jc w:val="both"/>
              <w:rPr>
                <w:rFonts w:ascii="Times New Roman" w:hAnsi="Times New Roman" w:cs="Times New Roman"/>
                <w:sz w:val="28"/>
                <w:szCs w:val="28"/>
              </w:rPr>
            </w:pPr>
            <w:r>
              <w:rPr>
                <w:rFonts w:ascii="Times New Roman" w:hAnsi="Times New Roman" w:cs="Times New Roman"/>
                <w:sz w:val="28"/>
                <w:szCs w:val="28"/>
              </w:rPr>
              <w:t xml:space="preserve">1.</w:t>
            </w:r>
            <w:r>
              <w:rPr>
                <w:rFonts w:ascii="Times New Roman" w:hAnsi="Times New Roman" w:cs="Times New Roman"/>
                <w:sz w:val="28"/>
                <w:szCs w:val="28"/>
              </w:rPr>
            </w:r>
            <w:r>
              <w:rPr>
                <w:rFonts w:ascii="Times New Roman" w:hAnsi="Times New Roman" w:cs="Times New Roman"/>
                <w:sz w:val="28"/>
                <w:szCs w:val="28"/>
              </w:rPr>
            </w:r>
          </w:p>
        </w:tc>
        <w:tc>
          <w:tcPr>
            <w:tcBorders/>
            <w:tcW w:w="3510" w:type="dxa"/>
            <w:textDirection w:val="lrTb"/>
            <w:noWrap w:val="false"/>
          </w:tcPr>
          <w:p>
            <w:pPr>
              <w:pBdr/>
              <w:spacing/>
              <w:ind/>
              <w:jc w:val="both"/>
              <w:rPr>
                <w:rFonts w:ascii="Times New Roman" w:hAnsi="Times New Roman" w:cs="Times New Roman"/>
                <w:sz w:val="28"/>
                <w:szCs w:val="28"/>
              </w:rPr>
            </w:pPr>
            <w:r>
              <w:rPr>
                <w:rFonts w:ascii="Times New Roman" w:hAnsi="Times New Roman" w:cs="Times New Roman"/>
                <w:sz w:val="28"/>
                <w:szCs w:val="28"/>
              </w:rPr>
              <w:t xml:space="preserve">Ініціатор розроблення Програми</w:t>
            </w:r>
            <w:r>
              <w:rPr>
                <w:rFonts w:ascii="Times New Roman" w:hAnsi="Times New Roman" w:cs="Times New Roman"/>
                <w:sz w:val="28"/>
                <w:szCs w:val="28"/>
              </w:rPr>
            </w:r>
            <w:r>
              <w:rPr>
                <w:rFonts w:ascii="Times New Roman" w:hAnsi="Times New Roman" w:cs="Times New Roman"/>
                <w:sz w:val="28"/>
                <w:szCs w:val="28"/>
              </w:rPr>
            </w:r>
          </w:p>
        </w:tc>
        <w:tc>
          <w:tcPr>
            <w:tcBorders/>
            <w:tcW w:w="5918" w:type="dxa"/>
            <w:textDirection w:val="lrTb"/>
            <w:noWrap w:val="false"/>
          </w:tcPr>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Відділ соціального захисту населення та охорони здоров’я Менської міської ради</w:t>
            </w:r>
            <w:r>
              <w:rPr>
                <w:rFonts w:ascii="Times New Roman" w:hAnsi="Times New Roman" w:cs="Times New Roman"/>
                <w:sz w:val="28"/>
                <w:szCs w:val="28"/>
              </w:rPr>
            </w:r>
            <w:r>
              <w:rPr>
                <w:rFonts w:ascii="Times New Roman" w:hAnsi="Times New Roman" w:cs="Times New Roman"/>
                <w:sz w:val="28"/>
                <w:szCs w:val="28"/>
              </w:rPr>
            </w:r>
          </w:p>
        </w:tc>
      </w:tr>
      <w:tr>
        <w:trPr/>
        <w:tc>
          <w:tcPr>
            <w:tcBorders/>
            <w:tcW w:w="426" w:type="dxa"/>
            <w:textDirection w:val="lrTb"/>
            <w:noWrap w:val="false"/>
          </w:tcPr>
          <w:p>
            <w:pPr>
              <w:pBdr/>
              <w:spacing/>
              <w:ind/>
              <w:jc w:val="both"/>
              <w:rPr>
                <w:rFonts w:ascii="Times New Roman" w:hAnsi="Times New Roman" w:cs="Times New Roman"/>
                <w:sz w:val="28"/>
                <w:szCs w:val="28"/>
              </w:rPr>
            </w:pPr>
            <w:r>
              <w:rPr>
                <w:rFonts w:ascii="Times New Roman" w:hAnsi="Times New Roman" w:cs="Times New Roman"/>
                <w:sz w:val="28"/>
                <w:szCs w:val="28"/>
              </w:rPr>
              <w:t xml:space="preserve">2.</w:t>
            </w:r>
            <w:r>
              <w:rPr>
                <w:rFonts w:ascii="Times New Roman" w:hAnsi="Times New Roman" w:cs="Times New Roman"/>
                <w:sz w:val="28"/>
                <w:szCs w:val="28"/>
              </w:rPr>
            </w:r>
            <w:r>
              <w:rPr>
                <w:rFonts w:ascii="Times New Roman" w:hAnsi="Times New Roman" w:cs="Times New Roman"/>
                <w:sz w:val="28"/>
                <w:szCs w:val="28"/>
              </w:rPr>
            </w:r>
          </w:p>
        </w:tc>
        <w:tc>
          <w:tcPr>
            <w:tcBorders/>
            <w:tcW w:w="3510" w:type="dxa"/>
            <w:textDirection w:val="lrTb"/>
            <w:noWrap w:val="false"/>
          </w:tcPr>
          <w:p>
            <w:pPr>
              <w:pBdr/>
              <w:spacing/>
              <w:ind/>
              <w:jc w:val="both"/>
              <w:rPr>
                <w:rFonts w:ascii="Times New Roman" w:hAnsi="Times New Roman" w:cs="Times New Roman"/>
                <w:sz w:val="28"/>
                <w:szCs w:val="28"/>
              </w:rPr>
            </w:pPr>
            <w:r>
              <w:rPr>
                <w:rFonts w:ascii="Times New Roman" w:hAnsi="Times New Roman" w:cs="Times New Roman"/>
                <w:sz w:val="28"/>
                <w:szCs w:val="28"/>
              </w:rPr>
              <w:t xml:space="preserve">Розробник </w:t>
            </w:r>
            <w:r>
              <w:rPr>
                <w:rFonts w:ascii="Times New Roman" w:hAnsi="Times New Roman" w:cs="Times New Roman"/>
                <w:sz w:val="28"/>
                <w:szCs w:val="28"/>
                <w:lang w:val="ru-RU"/>
              </w:rPr>
              <w:t xml:space="preserve">П</w:t>
            </w:r>
            <w:r>
              <w:rPr>
                <w:rFonts w:ascii="Times New Roman" w:hAnsi="Times New Roman" w:cs="Times New Roman"/>
                <w:sz w:val="28"/>
                <w:szCs w:val="28"/>
              </w:rPr>
              <w:t xml:space="preserve">рограми</w:t>
            </w:r>
            <w:r>
              <w:rPr>
                <w:rFonts w:ascii="Times New Roman" w:hAnsi="Times New Roman" w:cs="Times New Roman"/>
                <w:sz w:val="28"/>
                <w:szCs w:val="28"/>
              </w:rPr>
            </w:r>
            <w:r>
              <w:rPr>
                <w:rFonts w:ascii="Times New Roman" w:hAnsi="Times New Roman" w:cs="Times New Roman"/>
                <w:sz w:val="28"/>
                <w:szCs w:val="28"/>
              </w:rPr>
            </w:r>
          </w:p>
        </w:tc>
        <w:tc>
          <w:tcPr>
            <w:tcBorders/>
            <w:tcW w:w="5918" w:type="dxa"/>
            <w:textDirection w:val="lrTb"/>
            <w:noWrap w:val="false"/>
          </w:tcPr>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Відділ соціального захисту населення та охорони здоров’я Менської міської ради</w:t>
            </w:r>
            <w:r>
              <w:rPr>
                <w:rFonts w:ascii="Times New Roman" w:hAnsi="Times New Roman" w:cs="Times New Roman"/>
                <w:sz w:val="28"/>
                <w:szCs w:val="28"/>
              </w:rPr>
            </w:r>
            <w:r>
              <w:rPr>
                <w:rFonts w:ascii="Times New Roman" w:hAnsi="Times New Roman" w:cs="Times New Roman"/>
                <w:sz w:val="28"/>
                <w:szCs w:val="28"/>
              </w:rPr>
            </w:r>
          </w:p>
        </w:tc>
      </w:tr>
      <w:tr>
        <w:trPr/>
        <w:tc>
          <w:tcPr>
            <w:tcBorders/>
            <w:tcW w:w="426" w:type="dxa"/>
            <w:textDirection w:val="lrTb"/>
            <w:noWrap w:val="false"/>
          </w:tcPr>
          <w:p>
            <w:pPr>
              <w:pBdr/>
              <w:spacing/>
              <w:ind/>
              <w:jc w:val="both"/>
              <w:rPr>
                <w:rFonts w:ascii="Times New Roman" w:hAnsi="Times New Roman" w:cs="Times New Roman"/>
                <w:sz w:val="28"/>
                <w:szCs w:val="28"/>
              </w:rPr>
            </w:pPr>
            <w:r>
              <w:rPr>
                <w:rFonts w:ascii="Times New Roman" w:hAnsi="Times New Roman" w:cs="Times New Roman"/>
                <w:sz w:val="28"/>
                <w:szCs w:val="28"/>
              </w:rPr>
              <w:t xml:space="preserve">3.</w:t>
            </w:r>
            <w:r>
              <w:rPr>
                <w:rFonts w:ascii="Times New Roman" w:hAnsi="Times New Roman" w:cs="Times New Roman"/>
                <w:sz w:val="28"/>
                <w:szCs w:val="28"/>
              </w:rPr>
            </w:r>
            <w:r>
              <w:rPr>
                <w:rFonts w:ascii="Times New Roman" w:hAnsi="Times New Roman" w:cs="Times New Roman"/>
                <w:sz w:val="28"/>
                <w:szCs w:val="28"/>
              </w:rPr>
            </w:r>
          </w:p>
        </w:tc>
        <w:tc>
          <w:tcPr>
            <w:tcBorders/>
            <w:tcW w:w="3510" w:type="dxa"/>
            <w:textDirection w:val="lrTb"/>
            <w:noWrap w:val="false"/>
          </w:tcPr>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Виконавець </w:t>
            </w:r>
            <w:r>
              <w:rPr>
                <w:rFonts w:ascii="Times New Roman" w:hAnsi="Times New Roman" w:cs="Times New Roman"/>
                <w:sz w:val="28"/>
                <w:szCs w:val="28"/>
                <w:lang w:val="ru-RU"/>
              </w:rPr>
              <w:t xml:space="preserve">П</w:t>
            </w:r>
            <w:r>
              <w:rPr>
                <w:rFonts w:ascii="Times New Roman" w:hAnsi="Times New Roman" w:cs="Times New Roman"/>
                <w:sz w:val="28"/>
                <w:szCs w:val="28"/>
              </w:rPr>
              <w:t xml:space="preserve">рограми</w:t>
            </w:r>
            <w:r>
              <w:rPr>
                <w:rFonts w:ascii="Times New Roman" w:hAnsi="Times New Roman" w:cs="Times New Roman"/>
                <w:sz w:val="28"/>
                <w:szCs w:val="28"/>
              </w:rPr>
            </w:r>
            <w:r>
              <w:rPr>
                <w:rFonts w:ascii="Times New Roman" w:hAnsi="Times New Roman" w:cs="Times New Roman"/>
                <w:sz w:val="28"/>
                <w:szCs w:val="28"/>
              </w:rPr>
            </w:r>
          </w:p>
        </w:tc>
        <w:tc>
          <w:tcPr>
            <w:tcBorders/>
            <w:tcW w:w="5918" w:type="dxa"/>
            <w:textDirection w:val="lrTb"/>
            <w:noWrap w:val="false"/>
          </w:tcPr>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Менська міська рада;</w:t>
            </w:r>
            <w:r>
              <w:rPr>
                <w:rFonts w:ascii="Times New Roman" w:hAnsi="Times New Roman" w:cs="Times New Roman"/>
                <w:sz w:val="28"/>
                <w:szCs w:val="28"/>
              </w:rPr>
            </w:r>
            <w:r>
              <w:rPr>
                <w:rFonts w:ascii="Times New Roman" w:hAnsi="Times New Roman" w:cs="Times New Roman"/>
                <w:sz w:val="28"/>
                <w:szCs w:val="28"/>
              </w:rPr>
            </w:r>
          </w:p>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Відділ соціального захисту населення та охорони здоров’я Менської міської ради;</w:t>
            </w:r>
            <w:r>
              <w:rPr>
                <w:rFonts w:ascii="Times New Roman" w:hAnsi="Times New Roman" w:cs="Times New Roman"/>
                <w:sz w:val="28"/>
                <w:szCs w:val="28"/>
              </w:rPr>
            </w:r>
            <w:r>
              <w:rPr>
                <w:rFonts w:ascii="Times New Roman" w:hAnsi="Times New Roman" w:cs="Times New Roman"/>
                <w:sz w:val="28"/>
                <w:szCs w:val="28"/>
              </w:rPr>
            </w:r>
          </w:p>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Комунальна установа «Менський міський центр соціальних служб» Менської міської ради;</w:t>
            </w:r>
            <w:r>
              <w:rPr>
                <w:rFonts w:ascii="Times New Roman" w:hAnsi="Times New Roman" w:cs="Times New Roman"/>
                <w:sz w:val="28"/>
                <w:szCs w:val="28"/>
              </w:rPr>
            </w:r>
            <w:r>
              <w:rPr>
                <w:rFonts w:ascii="Times New Roman" w:hAnsi="Times New Roman" w:cs="Times New Roman"/>
                <w:sz w:val="28"/>
                <w:szCs w:val="28"/>
              </w:rPr>
            </w:r>
          </w:p>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Комунальна установа «Територіальний центр надання соціальних послуг» Менської міської ради;</w:t>
            </w:r>
            <w:r>
              <w:rPr>
                <w:rFonts w:ascii="Times New Roman" w:hAnsi="Times New Roman" w:cs="Times New Roman"/>
                <w:sz w:val="28"/>
                <w:szCs w:val="28"/>
              </w:rPr>
            </w:r>
            <w:r>
              <w:rPr>
                <w:rFonts w:ascii="Times New Roman" w:hAnsi="Times New Roman" w:cs="Times New Roman"/>
                <w:sz w:val="28"/>
                <w:szCs w:val="28"/>
              </w:rPr>
            </w:r>
          </w:p>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Відділ освіти Менської міської ради;</w:t>
            </w:r>
            <w:r>
              <w:rPr>
                <w:rFonts w:ascii="Times New Roman" w:hAnsi="Times New Roman" w:cs="Times New Roman"/>
                <w:sz w:val="28"/>
                <w:szCs w:val="28"/>
              </w:rPr>
            </w:r>
            <w:r>
              <w:rPr>
                <w:rFonts w:ascii="Times New Roman" w:hAnsi="Times New Roman" w:cs="Times New Roman"/>
                <w:sz w:val="28"/>
                <w:szCs w:val="28"/>
              </w:rPr>
            </w:r>
          </w:p>
          <w:p>
            <w:pPr>
              <w:pBdr/>
              <w:spacing/>
              <w:ind/>
              <w:jc w:val="both"/>
              <w:rPr>
                <w:rFonts w:ascii="Times New Roman" w:hAnsi="Times New Roman" w:cs="Times New Roman"/>
                <w:sz w:val="28"/>
                <w:szCs w:val="28"/>
              </w:rPr>
            </w:pPr>
            <w:r>
              <w:rPr>
                <w:rFonts w:ascii="Times New Roman" w:hAnsi="Times New Roman" w:cs="Times New Roman"/>
                <w:sz w:val="28"/>
                <w:szCs w:val="28"/>
              </w:rPr>
              <w:t xml:space="preserve">Сектор фізичної культури і спорту Менської міської ради;</w:t>
            </w:r>
            <w:r>
              <w:rPr>
                <w:rFonts w:ascii="Times New Roman" w:hAnsi="Times New Roman" w:cs="Times New Roman"/>
                <w:sz w:val="28"/>
                <w:szCs w:val="28"/>
              </w:rPr>
            </w:r>
            <w:r>
              <w:rPr>
                <w:rFonts w:ascii="Times New Roman" w:hAnsi="Times New Roman" w:cs="Times New Roman"/>
                <w:sz w:val="28"/>
                <w:szCs w:val="28"/>
              </w:rPr>
            </w:r>
          </w:p>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Відділ культури Менської міської ради</w:t>
            </w:r>
            <w:r>
              <w:rPr>
                <w:rFonts w:ascii="Times New Roman" w:hAnsi="Times New Roman" w:cs="Times New Roman"/>
                <w:sz w:val="28"/>
                <w:szCs w:val="28"/>
              </w:rPr>
            </w:r>
            <w:r>
              <w:rPr>
                <w:rFonts w:ascii="Times New Roman" w:hAnsi="Times New Roman" w:cs="Times New Roman"/>
                <w:sz w:val="28"/>
                <w:szCs w:val="28"/>
              </w:rPr>
            </w:r>
          </w:p>
          <w:p>
            <w:pPr>
              <w:pBdr/>
              <w:spacing/>
              <w:ind/>
              <w:jc w:val="both"/>
              <w:rPr/>
            </w:pPr>
            <w:r>
              <w:rPr>
                <w:rFonts w:ascii="Times New Roman" w:hAnsi="Times New Roman" w:cs="Times New Roman"/>
                <w:sz w:val="28"/>
                <w:szCs w:val="28"/>
              </w:rPr>
              <w:t xml:space="preserve">Комунальне некомерційне підприємство «Менська міська лікарня» Менської міської ради;</w:t>
            </w:r>
            <w:r/>
          </w:p>
          <w:p>
            <w:pPr>
              <w:pBdr/>
              <w:spacing/>
              <w:ind/>
              <w:jc w:val="both"/>
              <w:rPr/>
            </w:pPr>
            <w:r>
              <w:rPr>
                <w:rFonts w:ascii="Times New Roman" w:hAnsi="Times New Roman" w:cs="Times New Roman"/>
                <w:sz w:val="28"/>
                <w:szCs w:val="28"/>
              </w:rPr>
              <w:t xml:space="preserve">Комунальне некомерційне підприємство «Менський центр первинної медико-санітарної допомоги» Менської міської ради;</w:t>
            </w:r>
            <w:r/>
          </w:p>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Комунальна установа «Центр професійного розвитку педагогічних працівників» Менської міської ради;</w:t>
            </w:r>
            <w:r>
              <w:rPr>
                <w:rFonts w:ascii="Times New Roman" w:hAnsi="Times New Roman" w:cs="Times New Roman"/>
                <w:sz w:val="28"/>
                <w:szCs w:val="28"/>
              </w:rPr>
            </w:r>
            <w:r>
              <w:rPr>
                <w:rFonts w:ascii="Times New Roman" w:hAnsi="Times New Roman" w:cs="Times New Roman"/>
                <w:sz w:val="28"/>
                <w:szCs w:val="28"/>
              </w:rPr>
            </w:r>
          </w:p>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Комунальне підприємство «Менакомунпослуга» Менської міської ради;</w:t>
            </w:r>
            <w:r>
              <w:rPr>
                <w:rFonts w:ascii="Times New Roman" w:hAnsi="Times New Roman" w:cs="Times New Roman"/>
                <w:sz w:val="28"/>
                <w:szCs w:val="28"/>
              </w:rPr>
            </w:r>
            <w:r>
              <w:rPr>
                <w:rFonts w:ascii="Times New Roman" w:hAnsi="Times New Roman" w:cs="Times New Roman"/>
                <w:sz w:val="28"/>
                <w:szCs w:val="28"/>
              </w:rPr>
            </w:r>
          </w:p>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Менський відділ Корюківської філії Чернігівського обласного центру зайнятості;</w:t>
            </w:r>
            <w:r>
              <w:rPr>
                <w:rFonts w:ascii="Times New Roman" w:hAnsi="Times New Roman" w:cs="Times New Roman"/>
                <w:sz w:val="28"/>
                <w:szCs w:val="28"/>
              </w:rPr>
            </w:r>
            <w:r>
              <w:rPr>
                <w:rFonts w:ascii="Times New Roman" w:hAnsi="Times New Roman" w:cs="Times New Roman"/>
                <w:sz w:val="28"/>
                <w:szCs w:val="28"/>
              </w:rPr>
            </w:r>
          </w:p>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Організація ветеранів України Менської міської територіальної громади, інші ветеранські об’єднання, спілки, громадські організації громади</w:t>
            </w:r>
            <w:r>
              <w:rPr>
                <w:rFonts w:ascii="Times New Roman" w:hAnsi="Times New Roman" w:cs="Times New Roman"/>
                <w:sz w:val="28"/>
                <w:szCs w:val="28"/>
              </w:rPr>
            </w:r>
            <w:r>
              <w:rPr>
                <w:rFonts w:ascii="Times New Roman" w:hAnsi="Times New Roman" w:cs="Times New Roman"/>
                <w:sz w:val="28"/>
                <w:szCs w:val="28"/>
              </w:rPr>
            </w:r>
          </w:p>
        </w:tc>
      </w:tr>
      <w:tr>
        <w:trPr/>
        <w:tc>
          <w:tcPr>
            <w:tcBorders/>
            <w:tcW w:w="426" w:type="dxa"/>
            <w:textDirection w:val="lrTb"/>
            <w:noWrap w:val="false"/>
          </w:tcPr>
          <w:p>
            <w:pPr>
              <w:pBdr/>
              <w:spacing/>
              <w:ind/>
              <w:jc w:val="both"/>
              <w:rPr>
                <w:rFonts w:ascii="Times New Roman" w:hAnsi="Times New Roman" w:cs="Times New Roman"/>
                <w:sz w:val="28"/>
                <w:szCs w:val="28"/>
              </w:rPr>
            </w:pPr>
            <w:r>
              <w:rPr>
                <w:rFonts w:ascii="Times New Roman" w:hAnsi="Times New Roman" w:cs="Times New Roman"/>
                <w:sz w:val="28"/>
                <w:szCs w:val="28"/>
              </w:rPr>
              <w:t xml:space="preserve">4.</w:t>
            </w:r>
            <w:r>
              <w:rPr>
                <w:rFonts w:ascii="Times New Roman" w:hAnsi="Times New Roman" w:cs="Times New Roman"/>
                <w:sz w:val="28"/>
                <w:szCs w:val="28"/>
              </w:rPr>
            </w:r>
            <w:r>
              <w:rPr>
                <w:rFonts w:ascii="Times New Roman" w:hAnsi="Times New Roman" w:cs="Times New Roman"/>
                <w:sz w:val="28"/>
                <w:szCs w:val="28"/>
              </w:rPr>
            </w:r>
          </w:p>
        </w:tc>
        <w:tc>
          <w:tcPr>
            <w:tcBorders/>
            <w:tcW w:w="3510" w:type="dxa"/>
            <w:textDirection w:val="lrTb"/>
            <w:noWrap w:val="false"/>
          </w:tcPr>
          <w:p>
            <w:pPr>
              <w:pBdr/>
              <w:spacing/>
              <w:ind/>
              <w:jc w:val="both"/>
              <w:rPr>
                <w:rFonts w:ascii="Times New Roman" w:hAnsi="Times New Roman" w:cs="Times New Roman"/>
                <w:color w:val="ff0000"/>
                <w:sz w:val="28"/>
                <w:szCs w:val="28"/>
              </w:rPr>
            </w:pPr>
            <w:r>
              <w:rPr>
                <w:rFonts w:ascii="Times New Roman" w:hAnsi="Times New Roman" w:cs="Times New Roman"/>
                <w:sz w:val="28"/>
                <w:szCs w:val="28"/>
              </w:rPr>
              <w:t xml:space="preserve">Учасники </w:t>
            </w:r>
            <w:r>
              <w:rPr>
                <w:rFonts w:ascii="Times New Roman" w:hAnsi="Times New Roman" w:cs="Times New Roman"/>
                <w:sz w:val="28"/>
                <w:szCs w:val="28"/>
                <w:lang w:val="ru-RU"/>
              </w:rPr>
              <w:t xml:space="preserve">П</w:t>
            </w:r>
            <w:r>
              <w:rPr>
                <w:rFonts w:ascii="Times New Roman" w:hAnsi="Times New Roman" w:cs="Times New Roman"/>
                <w:sz w:val="28"/>
                <w:szCs w:val="28"/>
              </w:rPr>
              <w:t xml:space="preserve">рограми</w:t>
            </w:r>
            <w:r>
              <w:rPr>
                <w:rFonts w:ascii="Times New Roman" w:hAnsi="Times New Roman" w:cs="Times New Roman"/>
                <w:color w:val="ff0000"/>
                <w:sz w:val="28"/>
                <w:szCs w:val="28"/>
              </w:rPr>
            </w:r>
            <w:r>
              <w:rPr>
                <w:rFonts w:ascii="Times New Roman" w:hAnsi="Times New Roman" w:cs="Times New Roman"/>
                <w:color w:val="ff0000"/>
                <w:sz w:val="28"/>
                <w:szCs w:val="28"/>
              </w:rPr>
            </w:r>
          </w:p>
        </w:tc>
        <w:tc>
          <w:tcPr>
            <w:tcBorders/>
            <w:tcW w:w="5918" w:type="dxa"/>
            <w:textDirection w:val="lrTb"/>
            <w:noWrap w:val="false"/>
          </w:tcPr>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Менська міська рада;</w:t>
            </w:r>
            <w:r>
              <w:rPr>
                <w:rFonts w:ascii="Times New Roman" w:hAnsi="Times New Roman" w:cs="Times New Roman"/>
                <w:sz w:val="28"/>
                <w:szCs w:val="28"/>
              </w:rPr>
            </w:r>
            <w:r>
              <w:rPr>
                <w:rFonts w:ascii="Times New Roman" w:hAnsi="Times New Roman" w:cs="Times New Roman"/>
                <w:sz w:val="28"/>
                <w:szCs w:val="28"/>
              </w:rPr>
            </w:r>
          </w:p>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Відділ соціального захисту населення та охорони здоров’я Менської міської ради;</w:t>
            </w:r>
            <w:r>
              <w:rPr>
                <w:rFonts w:ascii="Times New Roman" w:hAnsi="Times New Roman" w:cs="Times New Roman"/>
                <w:sz w:val="28"/>
                <w:szCs w:val="28"/>
              </w:rPr>
            </w:r>
            <w:r>
              <w:rPr>
                <w:rFonts w:ascii="Times New Roman" w:hAnsi="Times New Roman" w:cs="Times New Roman"/>
                <w:sz w:val="28"/>
                <w:szCs w:val="28"/>
              </w:rPr>
            </w:r>
          </w:p>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Комунальна установа «Менський міський центр соціальних служб» Менської міської ради;</w:t>
            </w:r>
            <w:r>
              <w:rPr>
                <w:rFonts w:ascii="Times New Roman" w:hAnsi="Times New Roman" w:cs="Times New Roman"/>
                <w:sz w:val="28"/>
                <w:szCs w:val="28"/>
              </w:rPr>
            </w:r>
            <w:r>
              <w:rPr>
                <w:rFonts w:ascii="Times New Roman" w:hAnsi="Times New Roman" w:cs="Times New Roman"/>
                <w:sz w:val="28"/>
                <w:szCs w:val="28"/>
              </w:rPr>
            </w:r>
          </w:p>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Комунальна установа «Територіальний центр надання соціальних послуг» Менської міської ради;</w:t>
            </w:r>
            <w:r>
              <w:rPr>
                <w:rFonts w:ascii="Times New Roman" w:hAnsi="Times New Roman" w:cs="Times New Roman"/>
                <w:sz w:val="28"/>
                <w:szCs w:val="28"/>
              </w:rPr>
            </w:r>
            <w:r>
              <w:rPr>
                <w:rFonts w:ascii="Times New Roman" w:hAnsi="Times New Roman" w:cs="Times New Roman"/>
                <w:sz w:val="28"/>
                <w:szCs w:val="28"/>
              </w:rPr>
            </w:r>
          </w:p>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Відділ освіти Менської міської ради;</w:t>
            </w:r>
            <w:r>
              <w:rPr>
                <w:rFonts w:ascii="Times New Roman" w:hAnsi="Times New Roman" w:cs="Times New Roman"/>
                <w:sz w:val="28"/>
                <w:szCs w:val="28"/>
              </w:rPr>
            </w:r>
            <w:r>
              <w:rPr>
                <w:rFonts w:ascii="Times New Roman" w:hAnsi="Times New Roman" w:cs="Times New Roman"/>
                <w:sz w:val="28"/>
                <w:szCs w:val="28"/>
              </w:rPr>
            </w:r>
          </w:p>
          <w:p>
            <w:pPr>
              <w:pBdr/>
              <w:spacing/>
              <w:ind/>
              <w:jc w:val="both"/>
              <w:rPr>
                <w:rFonts w:ascii="Times New Roman" w:hAnsi="Times New Roman" w:cs="Times New Roman"/>
                <w:sz w:val="28"/>
                <w:szCs w:val="28"/>
              </w:rPr>
            </w:pPr>
            <w:r>
              <w:rPr>
                <w:rFonts w:ascii="Times New Roman" w:hAnsi="Times New Roman" w:cs="Times New Roman"/>
                <w:sz w:val="28"/>
                <w:szCs w:val="28"/>
              </w:rPr>
              <w:t xml:space="preserve">Сектор фізичної культури і спорту Менської міської ради;</w:t>
            </w:r>
            <w:r>
              <w:rPr>
                <w:rFonts w:ascii="Times New Roman" w:hAnsi="Times New Roman" w:cs="Times New Roman"/>
                <w:sz w:val="28"/>
                <w:szCs w:val="28"/>
              </w:rPr>
            </w:r>
            <w:r>
              <w:rPr>
                <w:rFonts w:ascii="Times New Roman" w:hAnsi="Times New Roman" w:cs="Times New Roman"/>
                <w:sz w:val="28"/>
                <w:szCs w:val="28"/>
              </w:rPr>
            </w:r>
          </w:p>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Відділ культури Менської міської ради</w:t>
            </w:r>
            <w:r>
              <w:rPr>
                <w:rFonts w:ascii="Times New Roman" w:hAnsi="Times New Roman" w:cs="Times New Roman"/>
                <w:sz w:val="28"/>
                <w:szCs w:val="28"/>
              </w:rPr>
            </w:r>
            <w:r>
              <w:rPr>
                <w:rFonts w:ascii="Times New Roman" w:hAnsi="Times New Roman" w:cs="Times New Roman"/>
                <w:sz w:val="28"/>
                <w:szCs w:val="28"/>
              </w:rPr>
            </w:r>
          </w:p>
          <w:p>
            <w:pPr>
              <w:pBdr/>
              <w:spacing/>
              <w:ind/>
              <w:jc w:val="both"/>
              <w:rPr/>
            </w:pPr>
            <w:r>
              <w:rPr>
                <w:rFonts w:ascii="Times New Roman" w:hAnsi="Times New Roman" w:cs="Times New Roman"/>
                <w:sz w:val="28"/>
                <w:szCs w:val="28"/>
              </w:rPr>
              <w:t xml:space="preserve">Комунальне некомерційне підприємство «Менська міська лікарня» Менської міської ради;</w:t>
            </w:r>
            <w:r/>
          </w:p>
          <w:p>
            <w:pPr>
              <w:pBdr/>
              <w:spacing/>
              <w:ind/>
              <w:jc w:val="both"/>
              <w:rPr/>
            </w:pPr>
            <w:r>
              <w:rPr>
                <w:rFonts w:ascii="Times New Roman" w:hAnsi="Times New Roman" w:cs="Times New Roman"/>
                <w:sz w:val="28"/>
                <w:szCs w:val="28"/>
              </w:rPr>
              <w:t xml:space="preserve">Комунальне некомерційне підприємство «Менський центр первинної медико-санітарної допомоги» Менської міської ради;</w:t>
            </w:r>
            <w:r/>
          </w:p>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Комунальна установа «Центр професійного розвитку педагогічних працівників» Менської міської ради;</w:t>
            </w:r>
            <w:r>
              <w:rPr>
                <w:rFonts w:ascii="Times New Roman" w:hAnsi="Times New Roman" w:cs="Times New Roman"/>
                <w:sz w:val="28"/>
                <w:szCs w:val="28"/>
              </w:rPr>
            </w:r>
            <w:r>
              <w:rPr>
                <w:rFonts w:ascii="Times New Roman" w:hAnsi="Times New Roman" w:cs="Times New Roman"/>
                <w:sz w:val="28"/>
                <w:szCs w:val="28"/>
              </w:rPr>
            </w:r>
          </w:p>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Комунальне підприємство «Менакомунпослуга» Менської міської ради;</w:t>
            </w:r>
            <w:r>
              <w:rPr>
                <w:rFonts w:ascii="Times New Roman" w:hAnsi="Times New Roman" w:cs="Times New Roman"/>
                <w:sz w:val="28"/>
                <w:szCs w:val="28"/>
              </w:rPr>
            </w:r>
            <w:r>
              <w:rPr>
                <w:rFonts w:ascii="Times New Roman" w:hAnsi="Times New Roman" w:cs="Times New Roman"/>
                <w:sz w:val="28"/>
                <w:szCs w:val="28"/>
              </w:rPr>
            </w:r>
          </w:p>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Менський відділ Корюківської філії Чернігівського обласного центру зайнятості;</w:t>
            </w:r>
            <w:r>
              <w:rPr>
                <w:rFonts w:ascii="Times New Roman" w:hAnsi="Times New Roman" w:cs="Times New Roman"/>
                <w:sz w:val="28"/>
                <w:szCs w:val="28"/>
              </w:rPr>
            </w:r>
            <w:r>
              <w:rPr>
                <w:rFonts w:ascii="Times New Roman" w:hAnsi="Times New Roman" w:cs="Times New Roman"/>
                <w:sz w:val="28"/>
                <w:szCs w:val="28"/>
              </w:rPr>
            </w:r>
          </w:p>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Організація ветеранів України Менської міської територіальної громади, інші ветеранські об’єднання, спілки та громадські організації громади</w:t>
            </w:r>
            <w:r>
              <w:rPr>
                <w:rFonts w:ascii="Times New Roman" w:hAnsi="Times New Roman" w:cs="Times New Roman"/>
                <w:sz w:val="28"/>
                <w:szCs w:val="28"/>
              </w:rPr>
            </w:r>
            <w:r>
              <w:rPr>
                <w:rFonts w:ascii="Times New Roman" w:hAnsi="Times New Roman" w:cs="Times New Roman"/>
                <w:sz w:val="28"/>
                <w:szCs w:val="28"/>
              </w:rPr>
            </w:r>
          </w:p>
        </w:tc>
      </w:tr>
      <w:tr>
        <w:trPr/>
        <w:tc>
          <w:tcPr>
            <w:tcBorders/>
            <w:tcW w:w="426" w:type="dxa"/>
            <w:textDirection w:val="lrTb"/>
            <w:noWrap w:val="false"/>
          </w:tcPr>
          <w:p>
            <w:pPr>
              <w:pBdr/>
              <w:spacing/>
              <w:ind/>
              <w:jc w:val="both"/>
              <w:rPr>
                <w:rFonts w:ascii="Times New Roman" w:hAnsi="Times New Roman" w:cs="Times New Roman"/>
                <w:sz w:val="28"/>
                <w:szCs w:val="28"/>
              </w:rPr>
            </w:pPr>
            <w:r>
              <w:rPr>
                <w:rFonts w:ascii="Times New Roman" w:hAnsi="Times New Roman" w:cs="Times New Roman"/>
                <w:sz w:val="28"/>
                <w:szCs w:val="28"/>
              </w:rPr>
              <w:t xml:space="preserve">5.</w:t>
            </w:r>
            <w:r>
              <w:rPr>
                <w:rFonts w:ascii="Times New Roman" w:hAnsi="Times New Roman" w:cs="Times New Roman"/>
                <w:sz w:val="28"/>
                <w:szCs w:val="28"/>
              </w:rPr>
            </w:r>
            <w:r>
              <w:rPr>
                <w:rFonts w:ascii="Times New Roman" w:hAnsi="Times New Roman" w:cs="Times New Roman"/>
                <w:sz w:val="28"/>
                <w:szCs w:val="28"/>
              </w:rPr>
            </w:r>
          </w:p>
        </w:tc>
        <w:tc>
          <w:tcPr>
            <w:tcBorders/>
            <w:tcW w:w="3510" w:type="dxa"/>
            <w:textDirection w:val="lrTb"/>
            <w:noWrap w:val="false"/>
          </w:tcPr>
          <w:p>
            <w:pPr>
              <w:pBdr/>
              <w:spacing/>
              <w:ind/>
              <w:jc w:val="both"/>
              <w:rPr>
                <w:rFonts w:ascii="Times New Roman" w:hAnsi="Times New Roman" w:cs="Times New Roman"/>
                <w:sz w:val="28"/>
                <w:szCs w:val="28"/>
              </w:rPr>
            </w:pPr>
            <w:r>
              <w:rPr>
                <w:rFonts w:ascii="Times New Roman" w:hAnsi="Times New Roman" w:cs="Times New Roman"/>
                <w:sz w:val="28"/>
                <w:szCs w:val="28"/>
              </w:rPr>
              <w:t xml:space="preserve">Термін реалізації </w:t>
            </w:r>
            <w:r>
              <w:rPr>
                <w:rFonts w:ascii="Times New Roman" w:hAnsi="Times New Roman" w:cs="Times New Roman"/>
                <w:sz w:val="28"/>
                <w:szCs w:val="28"/>
                <w:lang w:val="ru-RU"/>
              </w:rPr>
              <w:t xml:space="preserve">П</w:t>
            </w:r>
            <w:r>
              <w:rPr>
                <w:rFonts w:ascii="Times New Roman" w:hAnsi="Times New Roman" w:cs="Times New Roman"/>
                <w:sz w:val="28"/>
                <w:szCs w:val="28"/>
              </w:rPr>
              <w:t xml:space="preserve">рограми</w:t>
            </w:r>
            <w:r>
              <w:rPr>
                <w:rFonts w:ascii="Times New Roman" w:hAnsi="Times New Roman" w:cs="Times New Roman"/>
                <w:sz w:val="28"/>
                <w:szCs w:val="28"/>
              </w:rPr>
            </w:r>
            <w:r>
              <w:rPr>
                <w:rFonts w:ascii="Times New Roman" w:hAnsi="Times New Roman" w:cs="Times New Roman"/>
                <w:sz w:val="28"/>
                <w:szCs w:val="28"/>
              </w:rPr>
            </w:r>
          </w:p>
        </w:tc>
        <w:tc>
          <w:tcPr>
            <w:tcBorders/>
            <w:tcW w:w="5918" w:type="dxa"/>
            <w:textDirection w:val="lrTb"/>
            <w:noWrap w:val="false"/>
          </w:tcPr>
          <w:p>
            <w:pPr>
              <w:pBdr/>
              <w:spacing/>
              <w:ind/>
              <w:jc w:val="both"/>
              <w:rPr>
                <w:rFonts w:ascii="Times New Roman" w:hAnsi="Times New Roman" w:cs="Times New Roman"/>
                <w:sz w:val="28"/>
                <w:szCs w:val="28"/>
              </w:rPr>
            </w:pPr>
            <w:r>
              <w:rPr>
                <w:rFonts w:ascii="Times New Roman" w:hAnsi="Times New Roman" w:cs="Times New Roman"/>
                <w:sz w:val="28"/>
                <w:szCs w:val="28"/>
              </w:rPr>
              <w:t xml:space="preserve">2026-2028рік</w:t>
            </w:r>
            <w:r>
              <w:rPr>
                <w:rFonts w:ascii="Times New Roman" w:hAnsi="Times New Roman" w:cs="Times New Roman"/>
                <w:sz w:val="28"/>
                <w:szCs w:val="28"/>
              </w:rPr>
            </w:r>
            <w:r>
              <w:rPr>
                <w:rFonts w:ascii="Times New Roman" w:hAnsi="Times New Roman" w:cs="Times New Roman"/>
                <w:sz w:val="28"/>
                <w:szCs w:val="28"/>
              </w:rPr>
            </w:r>
          </w:p>
        </w:tc>
      </w:tr>
      <w:tr>
        <w:trPr/>
        <w:tc>
          <w:tcPr>
            <w:tcBorders/>
            <w:tcW w:w="426" w:type="dxa"/>
            <w:textDirection w:val="lrTb"/>
            <w:noWrap w:val="false"/>
          </w:tcPr>
          <w:p>
            <w:pPr>
              <w:pBdr/>
              <w:spacing/>
              <w:ind/>
              <w:jc w:val="both"/>
              <w:rPr>
                <w:rFonts w:ascii="Times New Roman" w:hAnsi="Times New Roman" w:cs="Times New Roman"/>
                <w:sz w:val="28"/>
                <w:szCs w:val="28"/>
              </w:rPr>
            </w:pPr>
            <w:r>
              <w:rPr>
                <w:rFonts w:ascii="Times New Roman" w:hAnsi="Times New Roman" w:cs="Times New Roman"/>
                <w:sz w:val="28"/>
                <w:szCs w:val="28"/>
              </w:rPr>
              <w:t xml:space="preserve">6.</w:t>
            </w:r>
            <w:r>
              <w:rPr>
                <w:rFonts w:ascii="Times New Roman" w:hAnsi="Times New Roman" w:cs="Times New Roman"/>
                <w:sz w:val="28"/>
                <w:szCs w:val="28"/>
              </w:rPr>
            </w:r>
            <w:r>
              <w:rPr>
                <w:rFonts w:ascii="Times New Roman" w:hAnsi="Times New Roman" w:cs="Times New Roman"/>
                <w:sz w:val="28"/>
                <w:szCs w:val="28"/>
              </w:rPr>
            </w:r>
          </w:p>
        </w:tc>
        <w:tc>
          <w:tcPr>
            <w:tcBorders/>
            <w:tcW w:w="3510" w:type="dxa"/>
            <w:textDirection w:val="lrTb"/>
            <w:noWrap w:val="false"/>
          </w:tcPr>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Перелік бюджетів, задіяних у виконання Програми</w:t>
            </w:r>
            <w:r>
              <w:rPr>
                <w:rFonts w:ascii="Times New Roman" w:hAnsi="Times New Roman" w:cs="Times New Roman"/>
                <w:sz w:val="28"/>
                <w:szCs w:val="28"/>
              </w:rPr>
            </w:r>
            <w:r>
              <w:rPr>
                <w:rFonts w:ascii="Times New Roman" w:hAnsi="Times New Roman" w:cs="Times New Roman"/>
                <w:sz w:val="28"/>
                <w:szCs w:val="28"/>
              </w:rPr>
            </w:r>
          </w:p>
        </w:tc>
        <w:tc>
          <w:tcPr>
            <w:tcBorders/>
            <w:tcW w:w="5918" w:type="dxa"/>
            <w:textDirection w:val="lrTb"/>
            <w:noWrap w:val="false"/>
          </w:tcPr>
          <w:p>
            <w:pPr>
              <w:pBdr/>
              <w:tabs>
                <w:tab w:val="left" w:leader="none" w:pos="1665"/>
              </w:tabs>
              <w:spacing/>
              <w:ind/>
              <w:jc w:val="both"/>
              <w:rPr>
                <w:rFonts w:ascii="Times New Roman" w:hAnsi="Times New Roman" w:cs="Times New Roman"/>
                <w:sz w:val="28"/>
                <w:szCs w:val="28"/>
              </w:rPr>
            </w:pPr>
            <w:r>
              <w:rPr>
                <w:rFonts w:ascii="Times New Roman" w:hAnsi="Times New Roman" w:cs="Times New Roman"/>
                <w:sz w:val="28"/>
                <w:szCs w:val="28"/>
              </w:rPr>
              <w:t xml:space="preserve">Місцевий бюджет, інші джерела фінансування, не заборонені законодавством</w:t>
            </w:r>
            <w:r>
              <w:rPr>
                <w:rFonts w:ascii="Times New Roman" w:hAnsi="Times New Roman" w:cs="Times New Roman"/>
                <w:sz w:val="28"/>
                <w:szCs w:val="28"/>
              </w:rPr>
            </w:r>
            <w:r>
              <w:rPr>
                <w:rFonts w:ascii="Times New Roman" w:hAnsi="Times New Roman" w:cs="Times New Roman"/>
                <w:sz w:val="28"/>
                <w:szCs w:val="28"/>
              </w:rPr>
            </w:r>
          </w:p>
        </w:tc>
      </w:tr>
      <w:tr>
        <w:trPr/>
        <w:tc>
          <w:tcPr>
            <w:tcBorders/>
            <w:tcW w:w="426" w:type="dxa"/>
            <w:textDirection w:val="lrTb"/>
            <w:noWrap w:val="false"/>
          </w:tcPr>
          <w:p>
            <w:pPr>
              <w:pBdr/>
              <w:spacing/>
              <w:ind/>
              <w:jc w:val="both"/>
              <w:rPr>
                <w:rFonts w:ascii="Times New Roman" w:hAnsi="Times New Roman" w:cs="Times New Roman"/>
                <w:sz w:val="28"/>
                <w:szCs w:val="28"/>
              </w:rPr>
            </w:pPr>
            <w:r>
              <w:rPr>
                <w:rFonts w:ascii="Times New Roman" w:hAnsi="Times New Roman" w:cs="Times New Roman"/>
                <w:sz w:val="28"/>
                <w:szCs w:val="28"/>
              </w:rPr>
              <w:t xml:space="preserve">7.</w:t>
            </w:r>
            <w:r>
              <w:rPr>
                <w:rFonts w:ascii="Times New Roman" w:hAnsi="Times New Roman" w:cs="Times New Roman"/>
                <w:sz w:val="28"/>
                <w:szCs w:val="28"/>
              </w:rPr>
            </w:r>
            <w:r>
              <w:rPr>
                <w:rFonts w:ascii="Times New Roman" w:hAnsi="Times New Roman" w:cs="Times New Roman"/>
                <w:sz w:val="28"/>
                <w:szCs w:val="28"/>
              </w:rPr>
            </w:r>
          </w:p>
        </w:tc>
        <w:tc>
          <w:tcPr>
            <w:tcBorders/>
            <w:tcW w:w="3510" w:type="dxa"/>
            <w:textDirection w:val="lrTb"/>
            <w:noWrap w:val="false"/>
          </w:tcPr>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Загальний обсяг фінансових ресурсів, необхідних для реалізації </w:t>
            </w:r>
            <w:r>
              <w:rPr>
                <w:rFonts w:ascii="Times New Roman" w:hAnsi="Times New Roman" w:cs="Times New Roman"/>
                <w:sz w:val="28"/>
                <w:szCs w:val="28"/>
                <w:lang w:val="ru-RU"/>
              </w:rPr>
              <w:t xml:space="preserve">П</w:t>
            </w:r>
            <w:r>
              <w:rPr>
                <w:rFonts w:ascii="Times New Roman" w:hAnsi="Times New Roman" w:cs="Times New Roman"/>
                <w:sz w:val="28"/>
                <w:szCs w:val="28"/>
              </w:rPr>
              <w:t xml:space="preserve">рограми (тис. грн.)</w:t>
            </w:r>
            <w:r>
              <w:rPr>
                <w:rFonts w:ascii="Times New Roman" w:hAnsi="Times New Roman" w:cs="Times New Roman"/>
                <w:sz w:val="28"/>
                <w:szCs w:val="28"/>
              </w:rPr>
            </w:r>
            <w:r>
              <w:rPr>
                <w:rFonts w:ascii="Times New Roman" w:hAnsi="Times New Roman" w:cs="Times New Roman"/>
                <w:sz w:val="28"/>
                <w:szCs w:val="28"/>
              </w:rPr>
            </w:r>
          </w:p>
        </w:tc>
        <w:tc>
          <w:tcPr>
            <w:tcBorders/>
            <w:tcW w:w="5918" w:type="dxa"/>
            <w:textDirection w:val="lrTb"/>
            <w:noWrap w:val="false"/>
          </w:tcPr>
          <w:p>
            <w:pPr>
              <w:pBdr/>
              <w:spacing/>
              <w:ind/>
              <w:jc w:val="both"/>
              <w:rPr>
                <w:rFonts w:ascii="Times New Roman" w:hAnsi="Times New Roman" w:cs="Times New Roman"/>
                <w:b/>
                <w:color w:val="ff0000"/>
                <w:sz w:val="28"/>
                <w:szCs w:val="28"/>
                <w:lang w:val="ru-RU"/>
              </w:rPr>
            </w:pPr>
            <w:r>
              <w:rPr>
                <w:rFonts w:ascii="Times New Roman" w:hAnsi="Times New Roman" w:cs="Times New Roman"/>
                <w:b/>
                <w:sz w:val="28"/>
                <w:szCs w:val="28"/>
              </w:rPr>
              <w:t xml:space="preserve">Всього : 20050</w:t>
            </w:r>
            <w:r>
              <w:rPr>
                <w:rFonts w:ascii="Times New Roman" w:hAnsi="Times New Roman" w:cs="Times New Roman"/>
                <w:b/>
                <w:bCs/>
                <w:color w:val="000000" w:themeColor="text1"/>
                <w:sz w:val="28"/>
                <w:szCs w:val="28"/>
              </w:rPr>
              <w:t xml:space="preserve"> тис грн.</w:t>
            </w:r>
            <w:r>
              <w:rPr>
                <w:rFonts w:ascii="Times New Roman" w:hAnsi="Times New Roman" w:cs="Times New Roman"/>
                <w:b/>
                <w:color w:val="ff0000"/>
                <w:sz w:val="28"/>
                <w:szCs w:val="28"/>
                <w:lang w:val="ru-RU"/>
              </w:rPr>
            </w:r>
            <w:r>
              <w:rPr>
                <w:rFonts w:ascii="Times New Roman" w:hAnsi="Times New Roman" w:cs="Times New Roman"/>
                <w:b/>
                <w:color w:val="ff0000"/>
                <w:sz w:val="28"/>
                <w:szCs w:val="28"/>
                <w:lang w:val="ru-RU"/>
              </w:rPr>
            </w:r>
          </w:p>
          <w:p>
            <w:pPr>
              <w:pBdr/>
              <w:spacing/>
              <w:ind/>
              <w:jc w:val="both"/>
              <w:rPr>
                <w:rFonts w:ascii="Times New Roman" w:hAnsi="Times New Roman" w:cs="Times New Roman"/>
                <w:sz w:val="28"/>
                <w:szCs w:val="28"/>
              </w:rPr>
            </w:pPr>
            <w:r>
              <w:rPr>
                <w:rFonts w:ascii="Times New Roman" w:hAnsi="Times New Roman" w:cs="Times New Roman"/>
                <w:sz w:val="28"/>
                <w:szCs w:val="28"/>
              </w:rPr>
              <w:t xml:space="preserve">По роках : </w:t>
            </w:r>
            <w:r>
              <w:rPr>
                <w:rFonts w:ascii="Times New Roman" w:hAnsi="Times New Roman" w:cs="Times New Roman"/>
                <w:sz w:val="28"/>
                <w:szCs w:val="28"/>
              </w:rPr>
            </w:r>
            <w:r>
              <w:rPr>
                <w:rFonts w:ascii="Times New Roman" w:hAnsi="Times New Roman" w:cs="Times New Roman"/>
                <w:sz w:val="28"/>
                <w:szCs w:val="28"/>
              </w:rPr>
            </w:r>
          </w:p>
          <w:p>
            <w:pPr>
              <w:pBdr/>
              <w:spacing/>
              <w:ind/>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2026 рік –  4830 тис.грн.</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ind/>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2027 рік –  7610 тис.грн.</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ind/>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2028 рік –  7610 тис.грн.</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tc>
      </w:tr>
    </w:tbl>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ind/>
        <w:rPr>
          <w:rFonts w:ascii="Times New Roman" w:hAnsi="Times New Roman" w:cs="Times New Roman"/>
          <w:sz w:val="28"/>
          <w:szCs w:val="28"/>
        </w:rPr>
      </w:pPr>
      <w:r>
        <w:rPr>
          <w:rFonts w:ascii="Times New Roman" w:hAnsi="Times New Roman" w:cs="Times New Roman"/>
          <w:sz w:val="28"/>
          <w:szCs w:val="28"/>
        </w:rPr>
        <w:br w:type="page" w:clear="all"/>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firstLine="426" w:left="284"/>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2.  Визначення проблеми, на розв’язання якої спрямована Програма</w:t>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Bd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зв’язку із військовою аг</w:t>
      </w:r>
      <w:r>
        <w:rPr>
          <w:rFonts w:ascii="Times New Roman" w:hAnsi="Times New Roman" w:cs="Times New Roman"/>
          <w:color w:val="000000" w:themeColor="text1"/>
          <w:sz w:val="28"/>
          <w:szCs w:val="28"/>
        </w:rPr>
        <w:t xml:space="preserve">ресією російської федерації проти України з 2014 року тисячі громадян стоять на захисті своєї країни, і саме ветерани, Захисники, Захисниці та члени їх родин стали сьогодні однією із вразливих верств населення, яка потребує всебічної підтримки та захисту.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Менській міській територіальній громаді спостерігається зростання кількості ветеранів війни, Захисників і Захисниць України, а також членів сімей загиблих (померлих) військовослужбовців, що зумовлено тривалими бойовими діями на території України.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сьогодні існує низка проблем, що ускладнюють повноцінну соціальну адаптацію та інтеграцію ветеранів у мирне життя, зокрема:</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69"/>
        <w:numPr>
          <w:ilvl w:val="0"/>
          <w:numId w:val="8"/>
        </w:numPr>
        <w:pBdr/>
        <w:spacing w:after="0" w:line="240" w:lineRule="auto"/>
        <w:ind/>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недостатній рівень доступу до якісних психологічних послуг, зокрема спеціалізованої допомоги при посттравматичному стресовому розладі (ПТСР);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69"/>
        <w:numPr>
          <w:ilvl w:val="0"/>
          <w:numId w:val="8"/>
        </w:numPr>
        <w:pBdr/>
        <w:spacing w:after="0" w:line="240" w:lineRule="auto"/>
        <w:ind/>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обмежені можливості для соціальної реабілітації, працевлаштування та професійної перекваліфікації ветеранів;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69"/>
        <w:numPr>
          <w:ilvl w:val="0"/>
          <w:numId w:val="8"/>
        </w:numPr>
        <w:pBdr/>
        <w:spacing w:after="0" w:line="240" w:lineRule="auto"/>
        <w:ind/>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потреба у посиленні соціального захисту та матеріальної підтримки сімей загиблих (померлих) Захисників і Захисниць України;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69"/>
        <w:numPr>
          <w:ilvl w:val="0"/>
          <w:numId w:val="8"/>
        </w:numPr>
        <w:pBdr/>
        <w:spacing w:after="0" w:line="240" w:lineRule="auto"/>
        <w:ind/>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недостатній рівень координації між установами та організаціями, що надають послуги ветеранам;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69"/>
        <w:numPr>
          <w:ilvl w:val="0"/>
          <w:numId w:val="8"/>
        </w:numPr>
        <w:pBdr/>
        <w:spacing w:after="0" w:line="240" w:lineRule="auto"/>
        <w:ind/>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відсутність ветеранських просторів як місць підтримки, взаємодії та надання послуг;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69"/>
        <w:numPr>
          <w:ilvl w:val="0"/>
          <w:numId w:val="8"/>
        </w:numPr>
        <w:pBdr/>
        <w:spacing w:after="0" w:line="240" w:lineRule="auto"/>
        <w:ind/>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потреба у належному вшануванні пам’яті загиблих та підтримці їхніх родин.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Крім того, частина ветеранів та членів їхніх сімей недостатньо поінформовані про наявні державні та місцеві програми підтримки, що знижує ефективність їх реалізації.</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Том</w:t>
      </w:r>
      <w:r>
        <w:rPr>
          <w:rFonts w:ascii="Times New Roman" w:hAnsi="Times New Roman" w:cs="Times New Roman"/>
          <w:color w:val="000000" w:themeColor="text1"/>
          <w:sz w:val="28"/>
          <w:szCs w:val="28"/>
        </w:rPr>
        <w:t xml:space="preserve">у, вказані категорії населення потребують комплексної та системної підтримки з боку органів місцевого самоврядування, а також забезпечення прав і свобод ветеранів під час переходу від військової служби до цивільного життя, реінтеграції ветеранів у громаді,</w:t>
      </w:r>
      <w:r>
        <w:rPr>
          <w:rFonts w:ascii="Times New Roman" w:hAnsi="Times New Roman" w:cs="Times New Roman"/>
          <w:color w:val="000000" w:themeColor="text1"/>
          <w:sz w:val="28"/>
          <w:szCs w:val="28"/>
        </w:rPr>
        <w:t xml:space="preserve"> спільноті та родині. Поліпшення фінансово-матеріального стану зазначених категорій осіб, забезпечення їх потреб у соціальному обслуговуванні та психологічній підтримці, сприяння вирішенню їх соціально-побутових проблем, вшанування пам’яті загиблих героїв.</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 24.02.2022 року збільшується кількість сімей загиблих/померлих Захисників та Захисниць України, зниклих безвісти, померлих внаслідок по</w:t>
      </w:r>
      <w:r>
        <w:rPr>
          <w:rFonts w:ascii="Times New Roman" w:hAnsi="Times New Roman" w:cs="Times New Roman"/>
          <w:color w:val="000000" w:themeColor="text1"/>
          <w:sz w:val="28"/>
          <w:szCs w:val="28"/>
        </w:rPr>
        <w:t xml:space="preserve">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Потребують підтримки і члени ветеранських організацій та об'єднань, які були створені в минулі роки, а також новостворені ветеранські об’єднання та громадські організації.</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Таким чином, існує об’єктивна необхідність у розроб</w:t>
      </w:r>
      <w:r>
        <w:rPr>
          <w:rFonts w:ascii="Times New Roman" w:hAnsi="Times New Roman" w:cs="Times New Roman"/>
          <w:color w:val="000000" w:themeColor="text1"/>
          <w:sz w:val="28"/>
          <w:szCs w:val="28"/>
        </w:rPr>
        <w:t xml:space="preserve">ленні та впровадженні комплексної програми, спрямованої на забезпечення системного підходу до підтримки ветеранів війни та членів їхніх сімей, підвищення якості надання послуг, соціальної адаптації, психологічної реабілітації та інтеграції у життя громади.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0" w:line="240" w:lineRule="auto"/>
        <w:ind w:firstLine="711" w:left="-15"/>
        <w:jc w:val="both"/>
        <w:rPr>
          <w:rFonts w:ascii="Times New Roman" w:hAnsi="Times New Roman" w:eastAsia="Times New Roman"/>
          <w:sz w:val="28"/>
          <w:szCs w:val="28"/>
        </w:rPr>
      </w:pPr>
      <w:r>
        <w:rPr>
          <w:rFonts w:ascii="Times New Roman" w:hAnsi="Times New Roman" w:eastAsia="Times New Roman"/>
          <w:sz w:val="28"/>
          <w:szCs w:val="28"/>
        </w:rPr>
      </w:r>
      <w:r>
        <w:rPr>
          <w:rFonts w:ascii="Times New Roman" w:hAnsi="Times New Roman" w:eastAsia="Times New Roman"/>
          <w:sz w:val="28"/>
          <w:szCs w:val="28"/>
        </w:rPr>
      </w:r>
      <w:r>
        <w:rPr>
          <w:rFonts w:ascii="Times New Roman" w:hAnsi="Times New Roman" w:eastAsia="Times New Roman"/>
          <w:sz w:val="28"/>
          <w:szCs w:val="28"/>
        </w:rPr>
      </w:r>
    </w:p>
    <w:p>
      <w:pPr>
        <w:pBdr/>
        <w:spacing w:after="0" w:line="240" w:lineRule="auto"/>
        <w:ind/>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3. Мета та завдання Програми</w:t>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Bdr/>
        <w:spacing w:after="0" w:line="240" w:lineRule="auto"/>
        <w:ind/>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Bd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Метою Комплексної програми є забезпечення комплексної, системної та доступної підтримки ветеранів війни, членів їхніх сімей, а також членів сімей загиблих (померлих) ветеранів війни і Захисників та Захисниць України шляхом підвищення рівня їх соціа</w:t>
      </w:r>
      <w:r>
        <w:rPr>
          <w:rFonts w:ascii="Times New Roman" w:hAnsi="Times New Roman" w:cs="Times New Roman"/>
          <w:sz w:val="28"/>
          <w:szCs w:val="28"/>
        </w:rPr>
        <w:t xml:space="preserve">льного захисту, надання якісних психологічних, реабілітаційних та інших послуг, сприяння соціальній адаптації, професійній реалізації та інтеграції у життя Менської міської територіальної громади, а також забезпечення належного вшанування пам’яті загиблих.</w:t>
      </w:r>
      <w:r>
        <w:rPr>
          <w:rFonts w:ascii="Times New Roman" w:hAnsi="Times New Roman" w:cs="Times New Roman"/>
          <w:sz w:val="28"/>
          <w:szCs w:val="28"/>
        </w:rPr>
      </w:r>
      <w:r>
        <w:rPr>
          <w:rFonts w:ascii="Times New Roman" w:hAnsi="Times New Roman" w:cs="Times New Roman"/>
          <w:sz w:val="28"/>
          <w:szCs w:val="28"/>
        </w:rPr>
      </w:r>
    </w:p>
    <w:p>
      <w:pPr>
        <w:pStyle w:val="971"/>
        <w:pBdr/>
        <w:spacing w:after="0" w:afterAutospacing="0" w:before="0" w:beforeAutospacing="0"/>
        <w:ind w:firstLine="567"/>
        <w:jc w:val="both"/>
        <w:rPr>
          <w:rFonts w:eastAsiaTheme="minorHAnsi"/>
          <w:sz w:val="28"/>
          <w:szCs w:val="28"/>
          <w:lang w:eastAsia="en-US"/>
        </w:rPr>
      </w:pPr>
      <w:r>
        <w:rPr>
          <w:rFonts w:eastAsiaTheme="minorHAnsi"/>
          <w:sz w:val="28"/>
          <w:szCs w:val="28"/>
          <w:lang w:eastAsia="en-US"/>
        </w:rPr>
        <w:t xml:space="preserve">Також метою Програми є підвищення ефективності взає</w:t>
      </w:r>
      <w:r>
        <w:rPr>
          <w:rFonts w:eastAsiaTheme="minorHAnsi"/>
          <w:sz w:val="28"/>
          <w:szCs w:val="28"/>
          <w:lang w:eastAsia="en-US"/>
        </w:rPr>
        <w:t xml:space="preserve">модії органів місцевого самоврядування та місцевих органів виконавчої влади з громадськими об’єднаннями та іншими юридичними особами у сфері підтримки ветеранів війни, членів їхніх сімей та сімей загиблих (померлих), забезпечення розвитку партнерства з вет</w:t>
      </w:r>
      <w:r>
        <w:rPr>
          <w:rFonts w:eastAsiaTheme="minorHAnsi"/>
          <w:sz w:val="28"/>
          <w:szCs w:val="28"/>
          <w:lang w:eastAsia="en-US"/>
        </w:rPr>
        <w:t xml:space="preserve">еранськими організаціями, координації спільної діяльності щодо реалізації заходів соціальної підтримки, національно-патріотичного виховання, вшанування пам’яті загиблих і померлих, відзначення визначних подій і пам’ятних дат, а також підтримки їхніх родин.</w:t>
      </w:r>
      <w:r>
        <w:rPr>
          <w:rFonts w:eastAsiaTheme="minorHAnsi"/>
          <w:sz w:val="28"/>
          <w:szCs w:val="28"/>
          <w:lang w:eastAsia="en-US"/>
        </w:rPr>
      </w:r>
      <w:r>
        <w:rPr>
          <w:rFonts w:eastAsiaTheme="minorHAnsi"/>
          <w:sz w:val="28"/>
          <w:szCs w:val="28"/>
          <w:lang w:eastAsia="en-US"/>
        </w:rPr>
      </w:r>
    </w:p>
    <w:p>
      <w:pPr>
        <w:pStyle w:val="971"/>
        <w:pBdr/>
        <w:spacing w:after="0" w:afterAutospacing="0" w:before="0" w:beforeAutospacing="0"/>
        <w:ind w:firstLine="567"/>
        <w:jc w:val="both"/>
        <w:rPr>
          <w:rFonts w:eastAsiaTheme="minorHAnsi"/>
          <w:sz w:val="28"/>
          <w:szCs w:val="28"/>
          <w:lang w:eastAsia="en-US"/>
        </w:rPr>
      </w:pPr>
      <w:r>
        <w:rPr>
          <w:rFonts w:eastAsiaTheme="minorHAnsi"/>
          <w:sz w:val="28"/>
          <w:szCs w:val="28"/>
          <w:lang w:eastAsia="en-US"/>
        </w:rPr>
        <w:t xml:space="preserve">Реалізація Програми спрямована на формування в громаді атмосфери співчуття, підтримки та поважного ставлення до зазначених категорій громадян, а також підвищення рівня довіри до органів місцевого самоврядування.</w:t>
      </w:r>
      <w:r>
        <w:rPr>
          <w:rFonts w:eastAsiaTheme="minorHAnsi"/>
          <w:sz w:val="28"/>
          <w:szCs w:val="28"/>
          <w:lang w:eastAsia="en-US"/>
        </w:rPr>
      </w:r>
      <w:r>
        <w:rPr>
          <w:rFonts w:eastAsiaTheme="minorHAnsi"/>
          <w:sz w:val="28"/>
          <w:szCs w:val="28"/>
          <w:lang w:eastAsia="en-US"/>
        </w:rPr>
      </w:r>
    </w:p>
    <w:p>
      <w:pPr>
        <w:pBdr/>
        <w:spacing w:after="0" w:line="240" w:lineRule="auto"/>
        <w:ind w:firstLine="708"/>
        <w:jc w:val="both"/>
        <w:rPr>
          <w:rFonts w:ascii="Times New Roman" w:hAnsi="Times New Roman" w:cs="Times New Roman"/>
          <w:iCs/>
          <w:sz w:val="28"/>
          <w:szCs w:val="28"/>
        </w:rPr>
      </w:pPr>
      <w:r>
        <w:rPr>
          <w:rFonts w:ascii="Times New Roman" w:hAnsi="Times New Roman" w:cs="Times New Roman"/>
          <w:iCs/>
          <w:sz w:val="28"/>
          <w:szCs w:val="28"/>
        </w:rPr>
        <w:t xml:space="preserve">Основн</w:t>
      </w:r>
      <w:r>
        <w:rPr>
          <w:rFonts w:ascii="Times New Roman" w:hAnsi="Times New Roman" w:cs="Times New Roman"/>
          <w:iCs/>
          <w:sz w:val="28"/>
          <w:szCs w:val="28"/>
          <w:lang w:val="ru-RU"/>
        </w:rPr>
        <w:t xml:space="preserve">ими</w:t>
      </w:r>
      <w:r>
        <w:rPr>
          <w:rFonts w:ascii="Times New Roman" w:hAnsi="Times New Roman" w:cs="Times New Roman"/>
          <w:iCs/>
          <w:sz w:val="28"/>
          <w:szCs w:val="28"/>
        </w:rPr>
        <w:t xml:space="preserve"> завдання</w:t>
      </w:r>
      <w:r>
        <w:rPr>
          <w:rFonts w:ascii="Times New Roman" w:hAnsi="Times New Roman" w:cs="Times New Roman"/>
          <w:iCs/>
          <w:sz w:val="28"/>
          <w:szCs w:val="28"/>
          <w:lang w:val="ru-RU"/>
        </w:rPr>
        <w:t xml:space="preserve">ми</w:t>
      </w:r>
      <w:r>
        <w:rPr>
          <w:rFonts w:ascii="Times New Roman" w:hAnsi="Times New Roman" w:cs="Times New Roman"/>
          <w:iCs/>
          <w:sz w:val="28"/>
          <w:szCs w:val="28"/>
        </w:rPr>
        <w:t xml:space="preserve"> Програми є:</w:t>
      </w:r>
      <w:r>
        <w:rPr>
          <w:rFonts w:ascii="Times New Roman" w:hAnsi="Times New Roman" w:cs="Times New Roman"/>
          <w:iCs/>
          <w:sz w:val="28"/>
          <w:szCs w:val="28"/>
        </w:rPr>
      </w:r>
      <w:r>
        <w:rPr>
          <w:rFonts w:ascii="Times New Roman" w:hAnsi="Times New Roman" w:cs="Times New Roman"/>
          <w:iCs/>
          <w:sz w:val="28"/>
          <w:szCs w:val="28"/>
        </w:rPr>
      </w:r>
    </w:p>
    <w:p>
      <w:pPr>
        <w:pStyle w:val="969"/>
        <w:numPr>
          <w:ilvl w:val="0"/>
          <w:numId w:val="4"/>
        </w:numPr>
        <w:pBdr/>
        <w:spacing w:after="0" w:line="240" w:lineRule="auto"/>
        <w:ind w:firstLine="360" w:left="0"/>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 xml:space="preserve">посилення соці</w:t>
      </w:r>
      <w:r>
        <w:rPr>
          <w:rFonts w:ascii="Times New Roman" w:hAnsi="Times New Roman" w:cs="Times New Roman"/>
          <w:iCs/>
          <w:color w:val="000000" w:themeColor="text1"/>
          <w:sz w:val="28"/>
          <w:szCs w:val="28"/>
        </w:rPr>
        <w:t xml:space="preserve">ального захисту ветеранів війни;</w:t>
      </w:r>
      <w:r>
        <w:rPr>
          <w:rFonts w:ascii="Times New Roman" w:hAnsi="Times New Roman" w:cs="Times New Roman"/>
          <w:iCs/>
          <w:color w:val="000000" w:themeColor="text1"/>
          <w:sz w:val="28"/>
          <w:szCs w:val="28"/>
        </w:rPr>
      </w:r>
      <w:r>
        <w:rPr>
          <w:rFonts w:ascii="Times New Roman" w:hAnsi="Times New Roman" w:cs="Times New Roman"/>
          <w:iCs/>
          <w:color w:val="000000" w:themeColor="text1"/>
          <w:sz w:val="28"/>
          <w:szCs w:val="28"/>
        </w:rPr>
      </w:r>
    </w:p>
    <w:p>
      <w:pPr>
        <w:pStyle w:val="969"/>
        <w:numPr>
          <w:ilvl w:val="0"/>
          <w:numId w:val="4"/>
        </w:numPr>
        <w:pBdr/>
        <w:spacing w:after="0" w:line="240" w:lineRule="auto"/>
        <w:ind w:firstLine="360" w:left="0"/>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 xml:space="preserve">посилення соціального захисту </w:t>
      </w:r>
      <w:r>
        <w:rPr>
          <w:rFonts w:ascii="Times New Roman" w:hAnsi="Times New Roman" w:cs="Times New Roman"/>
          <w:iCs/>
          <w:color w:val="000000" w:themeColor="text1"/>
          <w:sz w:val="28"/>
          <w:szCs w:val="28"/>
        </w:rPr>
        <w:t xml:space="preserve"> Захисників і Захисниць України, членів їх сімей та членів сімей загиблих (померлих) ветеранів війни, Захисників і Захисниць України;</w:t>
      </w:r>
      <w:r>
        <w:rPr>
          <w:rFonts w:ascii="Times New Roman" w:hAnsi="Times New Roman" w:cs="Times New Roman"/>
          <w:iCs/>
          <w:color w:val="000000" w:themeColor="text1"/>
          <w:sz w:val="28"/>
          <w:szCs w:val="28"/>
        </w:rPr>
      </w:r>
      <w:r>
        <w:rPr>
          <w:rFonts w:ascii="Times New Roman" w:hAnsi="Times New Roman" w:cs="Times New Roman"/>
          <w:iCs/>
          <w:color w:val="000000" w:themeColor="text1"/>
          <w:sz w:val="28"/>
          <w:szCs w:val="28"/>
        </w:rPr>
      </w:r>
    </w:p>
    <w:p>
      <w:pPr>
        <w:pStyle w:val="969"/>
        <w:numPr>
          <w:ilvl w:val="0"/>
          <w:numId w:val="4"/>
        </w:numPr>
        <w:pBdr/>
        <w:spacing w:after="0" w:line="240" w:lineRule="auto"/>
        <w:ind w:firstLine="360" w:left="0"/>
        <w:jc w:val="both"/>
        <w:rPr>
          <w:rFonts w:ascii="Times New Roman" w:hAnsi="Times New Roman" w:cs="Times New Roman"/>
          <w:bCs/>
          <w:sz w:val="28"/>
          <w:szCs w:val="28"/>
        </w:rPr>
      </w:pPr>
      <w:r>
        <w:rPr>
          <w:rFonts w:ascii="Times New Roman" w:hAnsi="Times New Roman" w:cs="Times New Roman"/>
          <w:iCs/>
          <w:sz w:val="28"/>
          <w:szCs w:val="28"/>
        </w:rPr>
        <w:t xml:space="preserve">збереження та покращення здоров’я ветеранів війни, їх морально-психологічного стану, забезпечення можливостей їх медичної та психологічної реабілітації;</w:t>
      </w:r>
      <w:r>
        <w:rPr>
          <w:rFonts w:ascii="Times New Roman" w:hAnsi="Times New Roman" w:cs="Times New Roman"/>
          <w:bCs/>
          <w:sz w:val="28"/>
          <w:szCs w:val="28"/>
        </w:rPr>
      </w:r>
      <w:r>
        <w:rPr>
          <w:rFonts w:ascii="Times New Roman" w:hAnsi="Times New Roman" w:cs="Times New Roman"/>
          <w:bCs/>
          <w:sz w:val="28"/>
          <w:szCs w:val="28"/>
        </w:rPr>
      </w:r>
    </w:p>
    <w:p>
      <w:pPr>
        <w:pStyle w:val="969"/>
        <w:numPr>
          <w:ilvl w:val="0"/>
          <w:numId w:val="4"/>
        </w:numPr>
        <w:pBdr/>
        <w:spacing w:after="0" w:line="240" w:lineRule="auto"/>
        <w:ind w:firstLine="360" w:left="0"/>
        <w:jc w:val="both"/>
        <w:rPr>
          <w:rFonts w:ascii="Times New Roman" w:hAnsi="Times New Roman" w:cs="Times New Roman"/>
          <w:bCs/>
          <w:sz w:val="28"/>
          <w:szCs w:val="28"/>
        </w:rPr>
      </w:pPr>
      <w:r>
        <w:rPr>
          <w:rFonts w:ascii="Times New Roman" w:hAnsi="Times New Roman" w:cs="Times New Roman"/>
          <w:iCs/>
          <w:sz w:val="28"/>
          <w:szCs w:val="28"/>
        </w:rPr>
        <w:t xml:space="preserve">підтримка сімей загиблих (померлих)</w:t>
      </w:r>
      <w:r>
        <w:rPr>
          <w:rFonts w:ascii="Times New Roman" w:hAnsi="Times New Roman" w:cs="Times New Roman"/>
          <w:iCs/>
          <w:sz w:val="28"/>
          <w:szCs w:val="28"/>
          <w:lang w:val="ru-RU"/>
        </w:rPr>
        <w:t xml:space="preserve">, </w:t>
      </w:r>
      <w:r>
        <w:rPr>
          <w:rFonts w:ascii="Times New Roman" w:hAnsi="Times New Roman" w:cs="Times New Roman"/>
          <w:iCs/>
          <w:sz w:val="28"/>
          <w:szCs w:val="28"/>
        </w:rPr>
        <w:t xml:space="preserve"> </w:t>
      </w:r>
      <w:r>
        <w:rPr>
          <w:rFonts w:ascii="Times New Roman" w:hAnsi="Times New Roman" w:cs="Times New Roman"/>
          <w:iCs/>
          <w:sz w:val="28"/>
          <w:szCs w:val="28"/>
          <w:lang w:val="ru-RU"/>
        </w:rPr>
        <w:t xml:space="preserve">зникл</w:t>
      </w:r>
      <w:r>
        <w:rPr>
          <w:rFonts w:ascii="Times New Roman" w:hAnsi="Times New Roman" w:cs="Times New Roman"/>
          <w:iCs/>
          <w:sz w:val="28"/>
          <w:szCs w:val="28"/>
        </w:rPr>
        <w:t xml:space="preserve">их безвісті</w:t>
      </w:r>
      <w:r>
        <w:rPr>
          <w:rFonts w:ascii="Times New Roman" w:hAnsi="Times New Roman" w:cs="Times New Roman"/>
          <w:iCs/>
          <w:sz w:val="28"/>
          <w:szCs w:val="28"/>
          <w:lang w:val="ru-RU"/>
        </w:rPr>
        <w:t xml:space="preserve"> військовослужбовців</w:t>
      </w:r>
      <w:r>
        <w:rPr>
          <w:rFonts w:ascii="Times New Roman" w:hAnsi="Times New Roman" w:cs="Times New Roman"/>
          <w:iCs/>
          <w:sz w:val="28"/>
          <w:szCs w:val="28"/>
        </w:rPr>
        <w:t xml:space="preserve">, військовослужбовців, які перебувають у полоні; </w:t>
      </w:r>
      <w:r>
        <w:rPr>
          <w:rFonts w:ascii="Times New Roman" w:hAnsi="Times New Roman" w:cs="Times New Roman"/>
          <w:bCs/>
          <w:sz w:val="28"/>
          <w:szCs w:val="28"/>
        </w:rPr>
      </w:r>
      <w:r>
        <w:rPr>
          <w:rFonts w:ascii="Times New Roman" w:hAnsi="Times New Roman" w:cs="Times New Roman"/>
          <w:bCs/>
          <w:sz w:val="28"/>
          <w:szCs w:val="28"/>
        </w:rPr>
      </w:r>
    </w:p>
    <w:p>
      <w:pPr>
        <w:pStyle w:val="969"/>
        <w:numPr>
          <w:ilvl w:val="0"/>
          <w:numId w:val="4"/>
        </w:numPr>
        <w:pBdr/>
        <w:spacing w:after="0" w:line="240" w:lineRule="auto"/>
        <w:ind w:firstLine="360" w:left="0"/>
        <w:jc w:val="both"/>
        <w:rPr>
          <w:rFonts w:ascii="Times New Roman" w:hAnsi="Times New Roman" w:cs="Times New Roman"/>
          <w:iCs/>
          <w:sz w:val="28"/>
          <w:szCs w:val="28"/>
        </w:rPr>
      </w:pPr>
      <w:r>
        <w:rPr>
          <w:rFonts w:ascii="Times New Roman" w:hAnsi="Times New Roman" w:cs="Times New Roman"/>
          <w:iCs/>
          <w:sz w:val="28"/>
          <w:szCs w:val="28"/>
        </w:rPr>
        <w:t xml:space="preserve">формування позитивного образу ветеранів війни;</w:t>
      </w:r>
      <w:r>
        <w:rPr>
          <w:rFonts w:ascii="Times New Roman" w:hAnsi="Times New Roman" w:cs="Times New Roman"/>
          <w:iCs/>
          <w:sz w:val="28"/>
          <w:szCs w:val="28"/>
        </w:rPr>
      </w:r>
      <w:r>
        <w:rPr>
          <w:rFonts w:ascii="Times New Roman" w:hAnsi="Times New Roman" w:cs="Times New Roman"/>
          <w:iCs/>
          <w:sz w:val="28"/>
          <w:szCs w:val="28"/>
        </w:rPr>
      </w:r>
    </w:p>
    <w:p>
      <w:pPr>
        <w:pStyle w:val="969"/>
        <w:numPr>
          <w:ilvl w:val="0"/>
          <w:numId w:val="4"/>
        </w:numPr>
        <w:pBdr/>
        <w:spacing w:after="0" w:line="240" w:lineRule="auto"/>
        <w:ind w:firstLine="360" w:left="0"/>
        <w:jc w:val="both"/>
        <w:rPr>
          <w:rFonts w:ascii="Times New Roman" w:hAnsi="Times New Roman" w:cs="Times New Roman"/>
          <w:iCs/>
          <w:sz w:val="28"/>
          <w:szCs w:val="28"/>
        </w:rPr>
      </w:pPr>
      <w:r>
        <w:rPr>
          <w:rFonts w:ascii="Times New Roman" w:hAnsi="Times New Roman" w:cs="Times New Roman"/>
          <w:iCs/>
          <w:sz w:val="28"/>
          <w:szCs w:val="28"/>
        </w:rPr>
        <w:t xml:space="preserve">увіковічення пам’яті про Загиблих Захисників та Захисниць України, забезпечення належного вшанування подвигу ветеранів війни та загиблих воїнів;</w:t>
      </w:r>
      <w:r>
        <w:rPr>
          <w:rFonts w:ascii="Times New Roman" w:hAnsi="Times New Roman" w:cs="Times New Roman"/>
          <w:iCs/>
          <w:sz w:val="28"/>
          <w:szCs w:val="28"/>
        </w:rPr>
      </w:r>
      <w:r>
        <w:rPr>
          <w:rFonts w:ascii="Times New Roman" w:hAnsi="Times New Roman" w:cs="Times New Roman"/>
          <w:iCs/>
          <w:sz w:val="28"/>
          <w:szCs w:val="28"/>
        </w:rPr>
      </w:r>
    </w:p>
    <w:p>
      <w:pPr>
        <w:pStyle w:val="969"/>
        <w:numPr>
          <w:ilvl w:val="0"/>
          <w:numId w:val="4"/>
        </w:numPr>
        <w:pBdr/>
        <w:spacing w:after="0" w:line="240" w:lineRule="auto"/>
        <w:ind w:firstLine="360" w:left="0"/>
        <w:jc w:val="both"/>
        <w:rPr>
          <w:rFonts w:ascii="Times New Roman" w:hAnsi="Times New Roman" w:cs="Times New Roman"/>
          <w:iCs/>
          <w:sz w:val="28"/>
          <w:szCs w:val="28"/>
        </w:rPr>
      </w:pPr>
      <w:r>
        <w:rPr>
          <w:rFonts w:ascii="Times New Roman" w:hAnsi="Times New Roman" w:cs="Times New Roman"/>
          <w:iCs/>
          <w:sz w:val="28"/>
          <w:szCs w:val="28"/>
          <w:lang w:val="ru-RU"/>
        </w:rPr>
        <w:t xml:space="preserve">організаційне та фінансове забезпечення проведення заходів, пам'ятних дат, вшанування пам'яті тощо</w:t>
      </w:r>
      <w:r>
        <w:rPr>
          <w:rFonts w:ascii="Times New Roman" w:hAnsi="Times New Roman" w:cs="Times New Roman"/>
          <w:iCs/>
          <w:sz w:val="28"/>
          <w:szCs w:val="28"/>
        </w:rPr>
        <w:t xml:space="preserve">;</w:t>
      </w:r>
      <w:r>
        <w:rPr>
          <w:rFonts w:ascii="Times New Roman" w:hAnsi="Times New Roman" w:cs="Times New Roman"/>
          <w:iCs/>
          <w:sz w:val="28"/>
          <w:szCs w:val="28"/>
        </w:rPr>
      </w:r>
      <w:r>
        <w:rPr>
          <w:rFonts w:ascii="Times New Roman" w:hAnsi="Times New Roman" w:cs="Times New Roman"/>
          <w:iCs/>
          <w:sz w:val="28"/>
          <w:szCs w:val="28"/>
        </w:rPr>
      </w:r>
    </w:p>
    <w:p>
      <w:pPr>
        <w:pStyle w:val="969"/>
        <w:numPr>
          <w:ilvl w:val="0"/>
          <w:numId w:val="4"/>
        </w:numPr>
        <w:pBdr/>
        <w:spacing w:after="0" w:line="240" w:lineRule="auto"/>
        <w:ind w:firstLine="360" w:left="0"/>
        <w:jc w:val="both"/>
        <w:rPr>
          <w:rFonts w:ascii="Times New Roman" w:hAnsi="Times New Roman" w:cs="Times New Roman"/>
          <w:sz w:val="28"/>
          <w:szCs w:val="28"/>
        </w:rPr>
      </w:pPr>
      <w:r>
        <w:rPr>
          <w:rFonts w:ascii="Times New Roman" w:hAnsi="Times New Roman" w:cs="Times New Roman"/>
          <w:iCs/>
          <w:sz w:val="28"/>
          <w:szCs w:val="28"/>
        </w:rPr>
        <w:t xml:space="preserve">підтримка ветеранських об’єднань, формувань, спілок громади.</w:t>
      </w:r>
      <w:r>
        <w:rPr>
          <w:rFonts w:ascii="Times New Roman" w:hAnsi="Times New Roman" w:cs="Times New Roman"/>
          <w:sz w:val="28"/>
          <w:szCs w:val="28"/>
        </w:rPr>
      </w:r>
      <w:r>
        <w:rPr>
          <w:rFonts w:ascii="Times New Roman" w:hAnsi="Times New Roman" w:cs="Times New Roman"/>
          <w:sz w:val="28"/>
          <w:szCs w:val="28"/>
        </w:rPr>
      </w:r>
    </w:p>
    <w:p>
      <w:pPr>
        <w:pStyle w:val="969"/>
        <w:numPr>
          <w:ilvl w:val="0"/>
          <w:numId w:val="4"/>
        </w:numPr>
        <w:pBdr/>
        <w:spacing w:after="0" w:line="240" w:lineRule="auto"/>
        <w:ind w:firstLine="360"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здійснення моніторингу та оцінки ефективності виконання Програми.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69"/>
        <w:pBdr/>
        <w:spacing w:after="0" w:line="240" w:lineRule="auto"/>
        <w:ind w:firstLine="567" w:left="0"/>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69"/>
        <w:numPr>
          <w:ilvl w:val="0"/>
          <w:numId w:val="11"/>
        </w:numPr>
        <w:pBdr/>
        <w:spacing w:after="0" w:line="240" w:lineRule="auto"/>
        <w:ind w:firstLine="0" w:left="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Обґрунтування шляхів і засобів розв’язання проблеми</w:t>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Style w:val="969"/>
        <w:pBdr/>
        <w:spacing w:after="0" w:line="240" w:lineRule="auto"/>
        <w:ind w:left="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Програми</w:t>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Style w:val="969"/>
        <w:pBdr/>
        <w:spacing w:after="0" w:line="240" w:lineRule="auto"/>
        <w:ind w:left="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Bd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w:t>
      </w:r>
      <w:r>
        <w:rPr>
          <w:rFonts w:ascii="Times New Roman" w:hAnsi="Times New Roman" w:cs="Times New Roman"/>
          <w:sz w:val="28"/>
          <w:szCs w:val="28"/>
        </w:rPr>
        <w:t xml:space="preserve">озв’язання визначених Програмою проблем потребує комплексного, системного підходу, що передбачає консолідацію зусиль органів місцевого самоврядування, місцевих органів виконавчої влади, установ, закладів, громадських об’єднань та інших зацікавлених сторін.</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Основними шляхами розв’язання проблеми є:</w:t>
      </w:r>
      <w:r>
        <w:rPr>
          <w:rFonts w:ascii="Times New Roman" w:hAnsi="Times New Roman" w:cs="Times New Roman"/>
          <w:sz w:val="28"/>
          <w:szCs w:val="28"/>
        </w:rPr>
      </w:r>
      <w:r>
        <w:rPr>
          <w:rFonts w:ascii="Times New Roman" w:hAnsi="Times New Roman" w:cs="Times New Roman"/>
          <w:sz w:val="28"/>
          <w:szCs w:val="28"/>
        </w:rPr>
      </w:r>
    </w:p>
    <w:p>
      <w:pPr>
        <w:pStyle w:val="969"/>
        <w:numPr>
          <w:ilvl w:val="0"/>
          <w:numId w:val="8"/>
        </w:num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удосконалення механізмів надання соціальної підтримки ветеранам війни, членам їхніх сімей та сім’ям загиблих (померлих); </w:t>
      </w:r>
      <w:r>
        <w:rPr>
          <w:rFonts w:ascii="Times New Roman" w:hAnsi="Times New Roman" w:cs="Times New Roman"/>
          <w:sz w:val="28"/>
          <w:szCs w:val="28"/>
        </w:rPr>
      </w:r>
      <w:r>
        <w:rPr>
          <w:rFonts w:ascii="Times New Roman" w:hAnsi="Times New Roman" w:cs="Times New Roman"/>
          <w:sz w:val="28"/>
          <w:szCs w:val="28"/>
        </w:rPr>
      </w:r>
    </w:p>
    <w:p>
      <w:pPr>
        <w:pStyle w:val="969"/>
        <w:numPr>
          <w:ilvl w:val="0"/>
          <w:numId w:val="8"/>
        </w:num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забезпечення доступності та розвитку послуг психологічної допомоги, зокрема спеціалізованої підтримки осіб, які зазнали травматичного досвіду війни; </w:t>
      </w:r>
      <w:r>
        <w:rPr>
          <w:rFonts w:ascii="Times New Roman" w:hAnsi="Times New Roman" w:cs="Times New Roman"/>
          <w:sz w:val="28"/>
          <w:szCs w:val="28"/>
        </w:rPr>
      </w:r>
      <w:r>
        <w:rPr>
          <w:rFonts w:ascii="Times New Roman" w:hAnsi="Times New Roman" w:cs="Times New Roman"/>
          <w:sz w:val="28"/>
          <w:szCs w:val="28"/>
        </w:rPr>
      </w:r>
    </w:p>
    <w:p>
      <w:pPr>
        <w:pStyle w:val="969"/>
        <w:numPr>
          <w:ilvl w:val="0"/>
          <w:numId w:val="8"/>
        </w:num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розвиток системи соціальної, медичної та професійної реабілітації ветеранів; </w:t>
      </w:r>
      <w:r>
        <w:rPr>
          <w:rFonts w:ascii="Times New Roman" w:hAnsi="Times New Roman" w:cs="Times New Roman"/>
          <w:sz w:val="28"/>
          <w:szCs w:val="28"/>
        </w:rPr>
      </w:r>
      <w:r>
        <w:rPr>
          <w:rFonts w:ascii="Times New Roman" w:hAnsi="Times New Roman" w:cs="Times New Roman"/>
          <w:sz w:val="28"/>
          <w:szCs w:val="28"/>
        </w:rPr>
      </w:r>
    </w:p>
    <w:p>
      <w:pPr>
        <w:pStyle w:val="969"/>
        <w:numPr>
          <w:ilvl w:val="0"/>
          <w:numId w:val="8"/>
        </w:num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створення умов для працевлаштування, самозайнятості та професійної адаптації; </w:t>
      </w:r>
      <w:r>
        <w:rPr>
          <w:rFonts w:ascii="Times New Roman" w:hAnsi="Times New Roman" w:cs="Times New Roman"/>
          <w:sz w:val="28"/>
          <w:szCs w:val="28"/>
        </w:rPr>
      </w:r>
      <w:r>
        <w:rPr>
          <w:rFonts w:ascii="Times New Roman" w:hAnsi="Times New Roman" w:cs="Times New Roman"/>
          <w:sz w:val="28"/>
          <w:szCs w:val="28"/>
        </w:rPr>
      </w:r>
    </w:p>
    <w:p>
      <w:pPr>
        <w:pStyle w:val="969"/>
        <w:numPr>
          <w:ilvl w:val="0"/>
          <w:numId w:val="8"/>
        </w:num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створення та функціонування ветеранського простору як центру підтримки, комунікації та надання послуг; </w:t>
      </w:r>
      <w:r>
        <w:rPr>
          <w:rFonts w:ascii="Times New Roman" w:hAnsi="Times New Roman" w:cs="Times New Roman"/>
          <w:sz w:val="28"/>
          <w:szCs w:val="28"/>
        </w:rPr>
      </w:r>
      <w:r>
        <w:rPr>
          <w:rFonts w:ascii="Times New Roman" w:hAnsi="Times New Roman" w:cs="Times New Roman"/>
          <w:sz w:val="28"/>
          <w:szCs w:val="28"/>
        </w:rPr>
      </w:r>
    </w:p>
    <w:p>
      <w:pPr>
        <w:pStyle w:val="969"/>
        <w:numPr>
          <w:ilvl w:val="0"/>
          <w:numId w:val="8"/>
        </w:num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посилення інформаційної роботи щодо прав, гарантій та можливостей отримання допомоги; </w:t>
      </w:r>
      <w:r>
        <w:rPr>
          <w:rFonts w:ascii="Times New Roman" w:hAnsi="Times New Roman" w:cs="Times New Roman"/>
          <w:sz w:val="28"/>
          <w:szCs w:val="28"/>
        </w:rPr>
      </w:r>
      <w:r>
        <w:rPr>
          <w:rFonts w:ascii="Times New Roman" w:hAnsi="Times New Roman" w:cs="Times New Roman"/>
          <w:sz w:val="28"/>
          <w:szCs w:val="28"/>
        </w:rPr>
      </w:r>
    </w:p>
    <w:p>
      <w:pPr>
        <w:pStyle w:val="969"/>
        <w:numPr>
          <w:ilvl w:val="0"/>
          <w:numId w:val="8"/>
        </w:num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забезпечення належної координації діяльності суб’єктів, які надають послуги у сфері ветеранської політики; </w:t>
      </w:r>
      <w:r>
        <w:rPr>
          <w:rFonts w:ascii="Times New Roman" w:hAnsi="Times New Roman" w:cs="Times New Roman"/>
          <w:sz w:val="28"/>
          <w:szCs w:val="28"/>
        </w:rPr>
      </w:r>
      <w:r>
        <w:rPr>
          <w:rFonts w:ascii="Times New Roman" w:hAnsi="Times New Roman" w:cs="Times New Roman"/>
          <w:sz w:val="28"/>
          <w:szCs w:val="28"/>
        </w:rPr>
      </w:r>
    </w:p>
    <w:p>
      <w:pPr>
        <w:pStyle w:val="969"/>
        <w:numPr>
          <w:ilvl w:val="0"/>
          <w:numId w:val="8"/>
        </w:num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розвиток партнерства з громадськими та ветеранськими організаціями; </w:t>
      </w:r>
      <w:r>
        <w:rPr>
          <w:rFonts w:ascii="Times New Roman" w:hAnsi="Times New Roman" w:cs="Times New Roman"/>
          <w:sz w:val="28"/>
          <w:szCs w:val="28"/>
        </w:rPr>
      </w:r>
      <w:r>
        <w:rPr>
          <w:rFonts w:ascii="Times New Roman" w:hAnsi="Times New Roman" w:cs="Times New Roman"/>
          <w:sz w:val="28"/>
          <w:szCs w:val="28"/>
        </w:rPr>
      </w:r>
    </w:p>
    <w:p>
      <w:pPr>
        <w:pStyle w:val="969"/>
        <w:numPr>
          <w:ilvl w:val="0"/>
          <w:numId w:val="8"/>
        </w:num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організація та проведення заходів із національно-патріотичного виховання, вшанування пам’яті загиблих (померлих) Захисників і Захисниць України, підтримки їхніх родин. </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Основними засобами реалізації Програми є: </w:t>
      </w:r>
      <w:r>
        <w:rPr>
          <w:rFonts w:ascii="Times New Roman" w:hAnsi="Times New Roman" w:cs="Times New Roman"/>
          <w:sz w:val="28"/>
          <w:szCs w:val="28"/>
        </w:rPr>
      </w:r>
      <w:r>
        <w:rPr>
          <w:rFonts w:ascii="Times New Roman" w:hAnsi="Times New Roman" w:cs="Times New Roman"/>
          <w:sz w:val="28"/>
          <w:szCs w:val="28"/>
        </w:rPr>
      </w:r>
    </w:p>
    <w:p>
      <w:pPr>
        <w:pStyle w:val="969"/>
        <w:numPr>
          <w:ilvl w:val="0"/>
          <w:numId w:val="8"/>
        </w:num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розроблення та виконання місцевих нормативно-правових актів у сфері підтримки ветеранів; </w:t>
      </w:r>
      <w:r>
        <w:rPr>
          <w:rFonts w:ascii="Times New Roman" w:hAnsi="Times New Roman" w:cs="Times New Roman"/>
          <w:sz w:val="28"/>
          <w:szCs w:val="28"/>
        </w:rPr>
      </w:r>
      <w:r>
        <w:rPr>
          <w:rFonts w:ascii="Times New Roman" w:hAnsi="Times New Roman" w:cs="Times New Roman"/>
          <w:sz w:val="28"/>
          <w:szCs w:val="28"/>
        </w:rPr>
      </w:r>
    </w:p>
    <w:p>
      <w:pPr>
        <w:pStyle w:val="969"/>
        <w:numPr>
          <w:ilvl w:val="0"/>
          <w:numId w:val="8"/>
        </w:num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фінансування заходів Програми за рахунок коштів місцевого бюджету та інших не заборонених законодавством джерел; </w:t>
      </w:r>
      <w:r>
        <w:rPr>
          <w:rFonts w:ascii="Times New Roman" w:hAnsi="Times New Roman" w:cs="Times New Roman"/>
          <w:sz w:val="28"/>
          <w:szCs w:val="28"/>
        </w:rPr>
      </w:r>
      <w:r>
        <w:rPr>
          <w:rFonts w:ascii="Times New Roman" w:hAnsi="Times New Roman" w:cs="Times New Roman"/>
          <w:sz w:val="28"/>
          <w:szCs w:val="28"/>
        </w:rPr>
      </w:r>
    </w:p>
    <w:p>
      <w:pPr>
        <w:pStyle w:val="969"/>
        <w:numPr>
          <w:ilvl w:val="0"/>
          <w:numId w:val="8"/>
        </w:num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залучення громадських організацій, благодійних фондів та міжнародних партнерів; впровадження міжвідомчої взаємодії та обміну інформацією; </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Застосування зазначених шляхів і засобів дозволить забезпечити комплексний підхід до вирішення проблем ветеранів війни та членів їхніх сімей, підвищити ефективність надання послуг і сприятиме їхній успішній інтеграції у життя громади. </w:t>
      </w:r>
      <w:r>
        <w:rPr>
          <w:rFonts w:ascii="Times New Roman" w:hAnsi="Times New Roman" w:cs="Times New Roman"/>
          <w:sz w:val="28"/>
          <w:szCs w:val="28"/>
        </w:rPr>
        <w:tab/>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Заходи Програми поширюються</w:t>
      </w:r>
      <w:r>
        <w:rPr>
          <w:rFonts w:ascii="Times New Roman" w:hAnsi="Times New Roman" w:cs="Times New Roman"/>
          <w:sz w:val="28"/>
          <w:szCs w:val="28"/>
        </w:rPr>
        <w:t xml:space="preserve"> на осіб та сім’ї, які проживають на території Менської міської територіальної громади, осіб та сім’ї, які прибули з інших територій України, та проживають на території Менської міської територіальної громади і зареєстровані як внутрішньо переміщені особи.</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Програма є довгостроковою та буде реалізована поетапно протягом 2026-2028 років із забезпеченням фінансування, передбачених нею заходів, за рахунок коштів бюджету Менської міської територіальної</w:t>
      </w:r>
      <w:r>
        <w:rPr>
          <w:rFonts w:ascii="Times New Roman" w:hAnsi="Times New Roman" w:cs="Times New Roman"/>
          <w:color w:val="000000" w:themeColor="text1"/>
          <w:sz w:val="28"/>
          <w:szCs w:val="28"/>
        </w:rPr>
        <w:t xml:space="preserve"> громади, коштів  цільових субвенцій з Державного бюджету України та інших джерел фінансування, не заборонених чинним законодавством.</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969"/>
        <w:pBdr/>
        <w:spacing w:after="0" w:line="240" w:lineRule="auto"/>
        <w:ind w:firstLine="567" w:left="0"/>
        <w:jc w:val="both"/>
        <w:rPr>
          <w:rFonts w:ascii="Times New Roman" w:hAnsi="Times New Roman" w:cs="Times New Roman"/>
          <w:iCs/>
          <w:sz w:val="28"/>
          <w:szCs w:val="28"/>
        </w:rPr>
      </w:pPr>
      <w:r>
        <w:rPr>
          <w:rFonts w:ascii="Times New Roman" w:hAnsi="Times New Roman" w:cs="Times New Roman"/>
          <w:iCs/>
          <w:sz w:val="28"/>
          <w:szCs w:val="28"/>
        </w:rPr>
        <w:t xml:space="preserve">Порядок реалізації Комплексної програми підтримки ветеранів війни, членів їх сімей, членів сімей загиблих (померлих) ветеранів війни, членів сімей загиблих (померлих) Захисників і Захисниць України, </w:t>
      </w:r>
      <w:r>
        <w:rPr>
          <w:rFonts w:ascii="Times New Roman" w:hAnsi="Times New Roman" w:cs="Times New Roman"/>
          <w:sz w:val="28"/>
          <w:szCs w:val="28"/>
        </w:rPr>
        <w:t xml:space="preserve">членів сімей особи, зниклої безвісти за особливих обставин,</w:t>
      </w:r>
      <w:r>
        <w:rPr>
          <w:rFonts w:ascii="Times New Roman" w:hAnsi="Times New Roman" w:cs="Times New Roman"/>
          <w:iCs/>
          <w:sz w:val="28"/>
          <w:szCs w:val="28"/>
        </w:rPr>
        <w:t xml:space="preserve">  Менської міської територіальної громади </w:t>
      </w:r>
      <w:r>
        <w:rPr>
          <w:rFonts w:ascii="Times New Roman" w:hAnsi="Times New Roman" w:cs="Times New Roman"/>
          <w:sz w:val="28"/>
          <w:szCs w:val="28"/>
        </w:rPr>
        <w:t xml:space="preserve">на 202</w:t>
      </w:r>
      <w:r>
        <w:rPr>
          <w:rFonts w:ascii="Times New Roman" w:hAnsi="Times New Roman" w:cs="Times New Roman"/>
          <w:sz w:val="28"/>
          <w:szCs w:val="28"/>
          <w:lang w:val="ru-RU"/>
        </w:rPr>
        <w:t xml:space="preserve">6</w:t>
      </w:r>
      <w:r>
        <w:rPr>
          <w:rFonts w:ascii="Times New Roman" w:hAnsi="Times New Roman" w:cs="Times New Roman"/>
          <w:sz w:val="28"/>
          <w:szCs w:val="28"/>
        </w:rPr>
        <w:t xml:space="preserve">-2028 роки</w:t>
      </w:r>
      <w:r>
        <w:rPr>
          <w:rFonts w:ascii="Times New Roman" w:hAnsi="Times New Roman" w:cs="Times New Roman"/>
          <w:iCs/>
          <w:sz w:val="28"/>
          <w:szCs w:val="28"/>
        </w:rPr>
        <w:t xml:space="preserve"> є невід’ємною частиною Програми (додаток 1).</w:t>
      </w:r>
      <w:r>
        <w:rPr>
          <w:rFonts w:ascii="Times New Roman" w:hAnsi="Times New Roman" w:cs="Times New Roman"/>
          <w:iCs/>
          <w:sz w:val="28"/>
          <w:szCs w:val="28"/>
        </w:rPr>
      </w:r>
      <w:r>
        <w:rPr>
          <w:rFonts w:ascii="Times New Roman" w:hAnsi="Times New Roman" w:cs="Times New Roman"/>
          <w:iCs/>
          <w:sz w:val="28"/>
          <w:szCs w:val="28"/>
        </w:rPr>
      </w:r>
    </w:p>
    <w:p>
      <w:pPr>
        <w:pBdr/>
        <w:spacing w:after="0" w:line="240" w:lineRule="auto"/>
        <w:ind/>
        <w:jc w:val="both"/>
        <w:rPr>
          <w:rFonts w:ascii="Times New Roman" w:hAnsi="Times New Roman" w:cs="Times New Roman"/>
          <w:i/>
          <w:sz w:val="28"/>
          <w:szCs w:val="28"/>
        </w:rPr>
      </w:pPr>
      <w:r>
        <w:rPr>
          <w:rFonts w:ascii="Times New Roman" w:hAnsi="Times New Roman" w:cs="Times New Roman"/>
          <w:i/>
          <w:sz w:val="28"/>
          <w:szCs w:val="28"/>
        </w:rPr>
      </w:r>
      <w:r>
        <w:rPr>
          <w:rFonts w:ascii="Times New Roman" w:hAnsi="Times New Roman" w:cs="Times New Roman"/>
          <w:i/>
          <w:sz w:val="28"/>
          <w:szCs w:val="28"/>
        </w:rPr>
      </w:r>
      <w:r>
        <w:rPr>
          <w:rFonts w:ascii="Times New Roman" w:hAnsi="Times New Roman" w:cs="Times New Roman"/>
          <w:i/>
          <w:sz w:val="28"/>
          <w:szCs w:val="28"/>
        </w:rPr>
      </w:r>
    </w:p>
    <w:p>
      <w:pPr>
        <w:pBdr/>
        <w:spacing w:after="0" w:line="240" w:lineRule="auto"/>
        <w:ind/>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5. Заходи та фінансове забезпечення Програми</w:t>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Bdr/>
        <w:spacing w:after="0" w:line="240" w:lineRule="auto"/>
        <w:ind/>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r>
        <w:rPr>
          <w:rFonts w:ascii="Times New Roman" w:hAnsi="Times New Roman" w:cs="Times New Roman"/>
          <w:b/>
          <w:color w:val="000000" w:themeColor="text1"/>
          <w:sz w:val="28"/>
          <w:szCs w:val="28"/>
        </w:rPr>
      </w:r>
    </w:p>
    <w:p>
      <w:pPr>
        <w:pBd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Фінансування Програми здійснюватиметься за рахунок коштів місцевого бюджету, виходячи з його фінансових можливостей, а також інших джерел фінансування, не заборонени</w:t>
      </w:r>
      <w:r>
        <w:rPr>
          <w:rFonts w:ascii="Times New Roman" w:hAnsi="Times New Roman" w:cs="Times New Roman"/>
          <w:sz w:val="28"/>
          <w:szCs w:val="28"/>
        </w:rPr>
        <w:t xml:space="preserve">х чинним законодавством України, </w:t>
      </w:r>
      <w:r>
        <w:rPr>
          <w:rFonts w:ascii="Times New Roman" w:hAnsi="Times New Roman" w:cs="Times New Roman"/>
          <w:color w:val="000000" w:themeColor="text1"/>
          <w:sz w:val="28"/>
          <w:szCs w:val="28"/>
        </w:rPr>
        <w:t xml:space="preserve">шляхом надання грошових допомог, оплати послуг, придбання товарів, виконання робіт, відшкодування витрат, проведення заходів та реалізації проєктів відповідно до затверджених заходів Програми.</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Фінансування Програми відбувається відповідно до кошторису заходів, який розробляється Відділом соціального захисту населення та охорони здоров’я Менської міської ради та подається на погодження голові Менської міської ради або особи, що його замінює. </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Захо</w:t>
      </w:r>
      <w:r>
        <w:rPr>
          <w:rFonts w:ascii="Times New Roman" w:hAnsi="Times New Roman" w:cs="Times New Roman"/>
          <w:color w:val="000000" w:themeColor="text1"/>
          <w:sz w:val="28"/>
          <w:szCs w:val="28"/>
        </w:rPr>
        <w:t xml:space="preserve">ди, спрямовані на виконання Програми, наведені у додатку 2 до Програми</w:t>
      </w:r>
      <w:r>
        <w:rPr>
          <w:rFonts w:ascii="Times New Roman" w:hAnsi="Times New Roman" w:cs="Times New Roman"/>
          <w:color w:val="000000" w:themeColor="text1"/>
          <w:sz w:val="28"/>
          <w:szCs w:val="28"/>
          <w:lang w:val="ru-RU"/>
        </w:rPr>
        <w:t xml:space="preserve">, який є її невід'ємною частиною</w:t>
      </w:r>
      <w:r>
        <w:rPr>
          <w:rFonts w:ascii="Times New Roman" w:hAnsi="Times New Roman" w:cs="Times New Roman"/>
          <w:color w:val="000000" w:themeColor="text1"/>
          <w:sz w:val="28"/>
          <w:szCs w:val="28"/>
        </w:rPr>
        <w:t xml:space="preserve">.</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Bdr/>
        <w:spacing w:after="0" w:line="240" w:lineRule="auto"/>
        <w:ind/>
        <w:jc w:val="center"/>
        <w:rPr>
          <w:rFonts w:ascii="Times New Roman" w:hAnsi="Times New Roman" w:cs="Times New Roman"/>
          <w:b/>
          <w:sz w:val="28"/>
          <w:szCs w:val="28"/>
        </w:rPr>
      </w:pPr>
      <w:r>
        <w:rPr>
          <w:rFonts w:ascii="Times New Roman" w:hAnsi="Times New Roman" w:cs="Times New Roman"/>
          <w:b/>
          <w:bCs/>
          <w:sz w:val="28"/>
          <w:szCs w:val="28"/>
        </w:rPr>
        <w:t xml:space="preserve">6</w:t>
      </w:r>
      <w:r>
        <w:rPr>
          <w:rFonts w:ascii="Times New Roman" w:hAnsi="Times New Roman" w:cs="Times New Roman"/>
          <w:sz w:val="28"/>
          <w:szCs w:val="28"/>
        </w:rPr>
        <w:t xml:space="preserve">.</w:t>
      </w:r>
      <w:r>
        <w:rPr>
          <w:rFonts w:ascii="Times New Roman" w:hAnsi="Times New Roman" w:cs="Times New Roman"/>
          <w:b/>
          <w:sz w:val="28"/>
          <w:szCs w:val="28"/>
        </w:rPr>
        <w:t xml:space="preserve">Очікувані результати виконання Програми</w:t>
      </w:r>
      <w:r>
        <w:rPr>
          <w:rFonts w:ascii="Times New Roman" w:hAnsi="Times New Roman" w:cs="Times New Roman"/>
          <w:b/>
          <w:sz w:val="28"/>
          <w:szCs w:val="28"/>
        </w:rPr>
      </w:r>
      <w:r>
        <w:rPr>
          <w:rFonts w:ascii="Times New Roman" w:hAnsi="Times New Roman" w:cs="Times New Roman"/>
          <w:b/>
          <w:sz w:val="28"/>
          <w:szCs w:val="28"/>
        </w:rPr>
      </w:r>
    </w:p>
    <w:p>
      <w:pPr>
        <w:pBdr/>
        <w:spacing w:after="0" w:line="240" w:lineRule="auto"/>
        <w:ind/>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pBdr/>
        <w:spacing w:after="0" w:line="240" w:lineRule="auto"/>
        <w:ind w:firstLine="567"/>
        <w:jc w:val="both"/>
        <w:rPr>
          <w:rFonts w:ascii="Times New Roman" w:hAnsi="Times New Roman" w:eastAsia="Times New Roman" w:cs="Times New Roman"/>
          <w:sz w:val="24"/>
          <w:szCs w:val="24"/>
          <w:lang w:eastAsia="uk-UA"/>
        </w:rPr>
      </w:pPr>
      <w:r>
        <w:rPr>
          <w:rFonts w:ascii="Times New Roman" w:hAnsi="Times New Roman" w:cs="Times New Roman"/>
          <w:sz w:val="28"/>
          <w:szCs w:val="28"/>
        </w:rPr>
        <w:t xml:space="preserve">Виконання визначених Програмою заходів забезпечить реалізацію системної та комплексної вет</w:t>
      </w:r>
      <w:r>
        <w:rPr>
          <w:rFonts w:ascii="Times New Roman" w:hAnsi="Times New Roman" w:cs="Times New Roman"/>
          <w:sz w:val="28"/>
          <w:szCs w:val="28"/>
        </w:rPr>
        <w:t xml:space="preserve">еранської політики, організацію заходів фінансової та іншої соціальної підтримки ветеранів війни, Захисників і Захисниць України, членів їх сімей, членів сімей загиблих (померлих) ветеранів війни, членів сімей особи, зниклої безвісти за особливих обставин:</w:t>
      </w:r>
      <w:r>
        <w:rPr>
          <w:rFonts w:ascii="Times New Roman" w:hAnsi="Times New Roman" w:eastAsia="Times New Roman" w:cs="Times New Roman"/>
          <w:sz w:val="24"/>
          <w:szCs w:val="24"/>
          <w:lang w:eastAsia="uk-UA"/>
        </w:rPr>
      </w:r>
      <w:r>
        <w:rPr>
          <w:rFonts w:ascii="Times New Roman" w:hAnsi="Times New Roman" w:eastAsia="Times New Roman" w:cs="Times New Roman"/>
          <w:sz w:val="24"/>
          <w:szCs w:val="24"/>
          <w:lang w:eastAsia="uk-UA"/>
        </w:rPr>
      </w:r>
    </w:p>
    <w:p>
      <w:pPr>
        <w:pStyle w:val="969"/>
        <w:numPr>
          <w:ilvl w:val="0"/>
          <w:numId w:val="8"/>
        </w:num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реалізацію системної та комплексної ветеранської політики на території Менської міської територіальної громади; </w:t>
      </w:r>
      <w:r>
        <w:rPr>
          <w:rFonts w:ascii="Times New Roman" w:hAnsi="Times New Roman" w:cs="Times New Roman"/>
          <w:sz w:val="28"/>
          <w:szCs w:val="28"/>
        </w:rPr>
      </w:r>
      <w:r>
        <w:rPr>
          <w:rFonts w:ascii="Times New Roman" w:hAnsi="Times New Roman" w:cs="Times New Roman"/>
          <w:sz w:val="28"/>
          <w:szCs w:val="28"/>
        </w:rPr>
      </w:r>
    </w:p>
    <w:p>
      <w:pPr>
        <w:pStyle w:val="969"/>
        <w:numPr>
          <w:ilvl w:val="0"/>
          <w:numId w:val="8"/>
        </w:num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створення дієвої системи соціальної, фінансової, психологічної та іншої підтримки ветеранів війни, Захисників і Захисниць України та членів їх сімей; </w:t>
      </w:r>
      <w:r>
        <w:rPr>
          <w:rFonts w:ascii="Times New Roman" w:hAnsi="Times New Roman" w:cs="Times New Roman"/>
          <w:sz w:val="28"/>
          <w:szCs w:val="28"/>
        </w:rPr>
      </w:r>
      <w:r>
        <w:rPr>
          <w:rFonts w:ascii="Times New Roman" w:hAnsi="Times New Roman" w:cs="Times New Roman"/>
          <w:sz w:val="28"/>
          <w:szCs w:val="28"/>
        </w:rPr>
      </w:r>
    </w:p>
    <w:p>
      <w:pPr>
        <w:pStyle w:val="969"/>
        <w:numPr>
          <w:ilvl w:val="0"/>
          <w:numId w:val="8"/>
        </w:num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підвищення рівня соціального захисту, реабілітації та успішної інтеграції ветеранів у мирне життя громади; </w:t>
      </w:r>
      <w:r>
        <w:rPr>
          <w:rFonts w:ascii="Times New Roman" w:hAnsi="Times New Roman" w:cs="Times New Roman"/>
          <w:sz w:val="28"/>
          <w:szCs w:val="28"/>
        </w:rPr>
      </w:r>
      <w:r>
        <w:rPr>
          <w:rFonts w:ascii="Times New Roman" w:hAnsi="Times New Roman" w:cs="Times New Roman"/>
          <w:sz w:val="28"/>
          <w:szCs w:val="28"/>
        </w:rPr>
      </w:r>
    </w:p>
    <w:p>
      <w:pPr>
        <w:pStyle w:val="969"/>
        <w:numPr>
          <w:ilvl w:val="0"/>
          <w:numId w:val="8"/>
        </w:num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забезпечення належної підтримки членів сімей загиблих (померлих) ветеранів війни, а також сімей осіб, зниклих безвісти за особливих обставин; </w:t>
      </w:r>
      <w:r>
        <w:rPr>
          <w:rFonts w:ascii="Times New Roman" w:hAnsi="Times New Roman" w:cs="Times New Roman"/>
          <w:sz w:val="28"/>
          <w:szCs w:val="28"/>
        </w:rPr>
      </w:r>
      <w:r>
        <w:rPr>
          <w:rFonts w:ascii="Times New Roman" w:hAnsi="Times New Roman" w:cs="Times New Roman"/>
          <w:sz w:val="28"/>
          <w:szCs w:val="28"/>
        </w:rPr>
      </w:r>
    </w:p>
    <w:p>
      <w:pPr>
        <w:pStyle w:val="969"/>
        <w:numPr>
          <w:ilvl w:val="0"/>
          <w:numId w:val="8"/>
        </w:num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формування в суспільстві поваги до ветеранів, Захисників і Захисниць України та збереження пам’яті про загиблих; </w:t>
      </w:r>
      <w:r>
        <w:rPr>
          <w:rFonts w:ascii="Times New Roman" w:hAnsi="Times New Roman" w:cs="Times New Roman"/>
          <w:sz w:val="28"/>
          <w:szCs w:val="28"/>
        </w:rPr>
      </w:r>
      <w:r>
        <w:rPr>
          <w:rFonts w:ascii="Times New Roman" w:hAnsi="Times New Roman" w:cs="Times New Roman"/>
          <w:sz w:val="28"/>
          <w:szCs w:val="28"/>
        </w:rPr>
      </w:r>
    </w:p>
    <w:p>
      <w:pPr>
        <w:pStyle w:val="969"/>
        <w:numPr>
          <w:ilvl w:val="0"/>
          <w:numId w:val="8"/>
        </w:num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забезпечення гідного посмертного вшанування загиблих (померлих) у війні з російською федерацією, а також організацію їх належного  поховання на території громади; </w:t>
      </w:r>
      <w:r>
        <w:rPr>
          <w:rFonts w:ascii="Times New Roman" w:hAnsi="Times New Roman" w:cs="Times New Roman"/>
          <w:sz w:val="28"/>
          <w:szCs w:val="28"/>
        </w:rPr>
      </w:r>
      <w:r>
        <w:rPr>
          <w:rFonts w:ascii="Times New Roman" w:hAnsi="Times New Roman" w:cs="Times New Roman"/>
          <w:sz w:val="28"/>
          <w:szCs w:val="28"/>
        </w:rPr>
      </w:r>
    </w:p>
    <w:p>
      <w:pPr>
        <w:pStyle w:val="969"/>
        <w:numPr>
          <w:ilvl w:val="0"/>
          <w:numId w:val="8"/>
        </w:num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налагодження ефективної взаємодії та розвиток співпраці між органами місцевого самоврядування, ветеранськими об’єднаннями та громадськістю.</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center"/>
        <w:rPr>
          <w:rFonts w:ascii="Times New Roman" w:hAnsi="Times New Roman" w:cs="Times New Roman"/>
          <w:b/>
          <w:sz w:val="28"/>
          <w:szCs w:val="28"/>
        </w:rPr>
      </w:pPr>
      <w:r>
        <w:rPr>
          <w:rFonts w:ascii="Times New Roman" w:hAnsi="Times New Roman" w:cs="Times New Roman"/>
          <w:b/>
          <w:sz w:val="28"/>
          <w:szCs w:val="28"/>
        </w:rPr>
        <w:t xml:space="preserve">7. Координація та контроль за ходом виконанням Програми</w:t>
      </w:r>
      <w:r>
        <w:rPr>
          <w:rFonts w:ascii="Times New Roman" w:hAnsi="Times New Roman" w:cs="Times New Roman"/>
          <w:b/>
          <w:sz w:val="28"/>
          <w:szCs w:val="28"/>
        </w:rPr>
      </w:r>
      <w:r>
        <w:rPr>
          <w:rFonts w:ascii="Times New Roman" w:hAnsi="Times New Roman" w:cs="Times New Roman"/>
          <w:b/>
          <w:sz w:val="28"/>
          <w:szCs w:val="28"/>
        </w:rPr>
      </w:r>
    </w:p>
    <w:p>
      <w:pPr>
        <w:pBdr/>
        <w:spacing w:after="0" w:line="240" w:lineRule="auto"/>
        <w:ind/>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suppressLineNumbers w:val="false"/>
        <w:pBd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Контроль за реалізацією </w:t>
      </w:r>
      <w:r>
        <w:rPr>
          <w:rFonts w:ascii="Times New Roman" w:hAnsi="Times New Roman" w:cs="Times New Roman"/>
          <w:sz w:val="28"/>
          <w:szCs w:val="28"/>
        </w:rPr>
        <w:t xml:space="preserve">Програми </w:t>
      </w:r>
      <w:r>
        <w:rPr>
          <w:rFonts w:ascii="Times New Roman" w:hAnsi="Times New Roman" w:cs="Times New Roman"/>
          <w:sz w:val="28"/>
          <w:szCs w:val="28"/>
        </w:rPr>
        <w:t xml:space="preserve">покладається на постійн</w:t>
      </w:r>
      <w:r>
        <w:rPr>
          <w:rFonts w:ascii="Times New Roman" w:hAnsi="Times New Roman" w:cs="Times New Roman"/>
          <w:sz w:val="28"/>
          <w:szCs w:val="28"/>
        </w:rPr>
        <w:t xml:space="preserve">у комісію Менської міської ради з питань охорони здоров’я та соціального захисту населення, освіти, культури, молоді, фізкультури і спорту та заступника міського голови з питань діяльності виконавчих органів ради згідно розподілу функціональних обов’язків.</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right="4534"/>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right="4534"/>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tabs>
          <w:tab w:val="left" w:leader="none" w:pos="6520"/>
        </w:tabs>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Начальник Відділу соціального</w:t>
      </w:r>
      <w:r>
        <w:rPr>
          <w:rFonts w:ascii="Times New Roman" w:hAnsi="Times New Roman" w:cs="Times New Roman"/>
          <w:sz w:val="28"/>
          <w:szCs w:val="28"/>
        </w:rPr>
      </w:r>
      <w:r>
        <w:rPr>
          <w:rFonts w:ascii="Times New Roman" w:hAnsi="Times New Roman" w:cs="Times New Roman"/>
          <w:sz w:val="28"/>
          <w:szCs w:val="28"/>
        </w:rPr>
      </w:r>
    </w:p>
    <w:p>
      <w:pPr>
        <w:pBdr/>
        <w:tabs>
          <w:tab w:val="left" w:leader="none" w:pos="6520"/>
        </w:tabs>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захисту населення та охорони</w:t>
      </w:r>
      <w:r>
        <w:rPr>
          <w:rFonts w:ascii="Times New Roman" w:hAnsi="Times New Roman" w:cs="Times New Roman"/>
          <w:sz w:val="28"/>
          <w:szCs w:val="28"/>
        </w:rPr>
      </w:r>
      <w:r>
        <w:rPr>
          <w:rFonts w:ascii="Times New Roman" w:hAnsi="Times New Roman" w:cs="Times New Roman"/>
          <w:sz w:val="28"/>
          <w:szCs w:val="28"/>
        </w:rPr>
      </w:r>
    </w:p>
    <w:p>
      <w:pPr>
        <w:pBdr/>
        <w:tabs>
          <w:tab w:val="left" w:leader="none" w:pos="6520"/>
        </w:tabs>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здоров</w:t>
      </w:r>
      <w:r>
        <w:rPr>
          <w:rFonts w:ascii="Times New Roman" w:hAnsi="Times New Roman" w:cs="Times New Roman"/>
          <w:sz w:val="28"/>
          <w:szCs w:val="28"/>
          <w:lang w:val="ru-RU"/>
        </w:rPr>
        <w:t xml:space="preserve">’</w:t>
      </w:r>
      <w:r>
        <w:rPr>
          <w:rFonts w:ascii="Times New Roman" w:hAnsi="Times New Roman" w:cs="Times New Roman"/>
          <w:sz w:val="28"/>
          <w:szCs w:val="28"/>
        </w:rPr>
        <w:t xml:space="preserve">я Менської міської ради</w:t>
      </w:r>
      <w:r>
        <w:rPr>
          <w:rFonts w:ascii="Times New Roman" w:hAnsi="Times New Roman" w:cs="Times New Roman"/>
          <w:sz w:val="28"/>
          <w:szCs w:val="28"/>
        </w:rPr>
        <w:tab/>
        <w:t xml:space="preserve">Мар</w:t>
      </w:r>
      <w:r>
        <w:rPr>
          <w:rFonts w:ascii="Times New Roman" w:hAnsi="Times New Roman" w:cs="Times New Roman"/>
          <w:sz w:val="28"/>
          <w:szCs w:val="28"/>
          <w:lang w:val="ru-RU"/>
        </w:rPr>
        <w:t xml:space="preserve">и</w:t>
      </w:r>
      <w:r>
        <w:rPr>
          <w:rFonts w:ascii="Times New Roman" w:hAnsi="Times New Roman" w:cs="Times New Roman"/>
          <w:sz w:val="28"/>
          <w:szCs w:val="28"/>
        </w:rPr>
        <w:t xml:space="preserve">на МОСКАЛЬЧУК</w:t>
      </w:r>
      <w:r>
        <w:rPr>
          <w:rFonts w:ascii="Times New Roman" w:hAnsi="Times New Roman" w:cs="Times New Roman"/>
          <w:sz w:val="28"/>
          <w:szCs w:val="28"/>
        </w:rPr>
      </w:r>
      <w:r>
        <w:rPr>
          <w:rFonts w:ascii="Times New Roman" w:hAnsi="Times New Roman" w:cs="Times New Roman"/>
          <w:sz w:val="28"/>
          <w:szCs w:val="28"/>
        </w:rPr>
      </w:r>
    </w:p>
    <w:sectPr>
      <w:headerReference w:type="default" r:id="rId9"/>
      <w:headerReference w:type="first" r:id="rId10"/>
      <w:footerReference w:type="default" r:id="rId11"/>
      <w:footerReference w:type="first" r:id="rId12"/>
      <w:footnotePr/>
      <w:endnotePr/>
      <w:type w:val="nextPage"/>
      <w:pgSz w:h="16838" w:orient="portrait" w:w="11906"/>
      <w:pgMar w:top="1134" w:right="567" w:bottom="1134" w:left="1701" w:header="709" w:footer="709"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7"/>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7"/>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5"/>
      <w:pBdr/>
      <w:spacing/>
      <w:ind/>
      <w:jc w:val="right"/>
      <w:rPr>
        <w:rFonts w:ascii="Times New Roman" w:hAnsi="Times New Roman" w:cs="Times New Roman"/>
        <w:bCs/>
        <w:i/>
        <w:sz w:val="28"/>
        <w:szCs w:val="28"/>
      </w:rPr>
    </w:pPr>
    <w:r>
      <w:fldChar w:fldCharType="begin"/>
    </w:r>
    <w:r>
      <w:instrText xml:space="preserve">PAGE \* MERGEFORMAT</w:instrText>
    </w:r>
    <w:r>
      <w:fldChar w:fldCharType="separate"/>
    </w:r>
    <w:r>
      <w:rPr>
        <w:rFonts w:ascii="Times New Roman" w:hAnsi="Times New Roman" w:eastAsia="Times New Roman" w:cs="Times New Roman"/>
        <w:i/>
        <w:iCs/>
        <w:sz w:val="28"/>
        <w:szCs w:val="28"/>
      </w:rPr>
      <w:t xml:space="preserve">2</w:t>
    </w:r>
    <w:r>
      <w:rPr>
        <w:rFonts w:ascii="Times New Roman" w:hAnsi="Times New Roman" w:eastAsia="Times New Roman" w:cs="Times New Roman"/>
        <w:i/>
        <w:iCs/>
        <w:sz w:val="28"/>
        <w:szCs w:val="28"/>
      </w:rPr>
      <w:fldChar w:fldCharType="end"/>
    </w:r>
    <w:r>
      <w:rPr>
        <w:rFonts w:ascii="Times New Roman" w:hAnsi="Times New Roman" w:eastAsia="Times New Roman" w:cs="Times New Roman"/>
        <w:i/>
        <w:iCs/>
        <w:sz w:val="28"/>
        <w:szCs w:val="28"/>
      </w:rPr>
      <w:t xml:space="preserve">                           продовження додатка</w:t>
    </w:r>
    <w:r>
      <w:rPr>
        <w:rFonts w:ascii="Times New Roman" w:hAnsi="Times New Roman" w:cs="Times New Roman"/>
        <w:bCs/>
        <w:i/>
        <w:sz w:val="28"/>
        <w:szCs w:val="28"/>
      </w:rPr>
    </w:r>
    <w:r>
      <w:rPr>
        <w:rFonts w:ascii="Times New Roman" w:hAnsi="Times New Roman" w:cs="Times New Roman"/>
        <w:bCs/>
        <w:i/>
        <w:sz w:val="28"/>
        <w:szCs w:val="28"/>
      </w:rPr>
    </w:r>
  </w:p>
  <w:p>
    <w:pPr>
      <w:pStyle w:val="965"/>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5"/>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rFonts w:hint="default" w:ascii="Times New Roman" w:hAnsi="Times New Roman" w:cs="Times New Roman" w:eastAsiaTheme="minorHAnsi"/>
      </w:rPr>
      <w:start w:val="4"/>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3">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lvl w:ilvl="0">
      <w:isLgl w:val="false"/>
      <w:lvlJc w:val="left"/>
      <w:lvlText w:val="-"/>
      <w:numFmt w:val="bullet"/>
      <w:pPr>
        <w:pBdr/>
        <w:spacing/>
        <w:ind w:hanging="360" w:left="927"/>
      </w:pPr>
      <w:rPr>
        <w:rFonts w:hint="default" w:ascii="Times New Roman" w:hAnsi="Times New Roman" w:cs="Times New Roman" w:eastAsiaTheme="minorHAnsi"/>
      </w:rPr>
      <w:start w:val="1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5">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6">
    <w:lvl w:ilvl="0">
      <w:isLgl w:val="false"/>
      <w:lvlJc w:val="left"/>
      <w:lvlText w:val="%1."/>
      <w:numFmt w:val="decimal"/>
      <w:pPr>
        <w:pBdr/>
        <w:spacing/>
        <w:ind w:hanging="360" w:left="1211"/>
      </w:pPr>
      <w:rPr>
        <w:rFonts w:hint="default"/>
      </w:rPr>
      <w:start w:val="4"/>
      <w:suff w:val="tab"/>
    </w:lvl>
    <w:lvl w:ilvl="1">
      <w:isLgl w:val="false"/>
      <w:lvlJc w:val="left"/>
      <w:lvlText w:val="%2."/>
      <w:numFmt w:val="lowerLetter"/>
      <w:pPr>
        <w:pBdr/>
        <w:spacing/>
        <w:ind w:hanging="360" w:left="1931"/>
      </w:pPr>
      <w:rPr/>
      <w:start w:val="1"/>
      <w:suff w:val="tab"/>
    </w:lvl>
    <w:lvl w:ilvl="2">
      <w:isLgl w:val="false"/>
      <w:lvlJc w:val="right"/>
      <w:lvlText w:val="%3."/>
      <w:numFmt w:val="lowerRoman"/>
      <w:pPr>
        <w:pBdr/>
        <w:spacing/>
        <w:ind w:hanging="180" w:left="2651"/>
      </w:pPr>
      <w:rPr/>
      <w:start w:val="1"/>
      <w:suff w:val="tab"/>
    </w:lvl>
    <w:lvl w:ilvl="3">
      <w:isLgl w:val="false"/>
      <w:lvlJc w:val="left"/>
      <w:lvlText w:val="%4."/>
      <w:numFmt w:val="decimal"/>
      <w:pPr>
        <w:pBdr/>
        <w:spacing/>
        <w:ind w:hanging="360" w:left="3371"/>
      </w:pPr>
      <w:rPr/>
      <w:start w:val="1"/>
      <w:suff w:val="tab"/>
    </w:lvl>
    <w:lvl w:ilvl="4">
      <w:isLgl w:val="false"/>
      <w:lvlJc w:val="left"/>
      <w:lvlText w:val="%5."/>
      <w:numFmt w:val="lowerLetter"/>
      <w:pPr>
        <w:pBdr/>
        <w:spacing/>
        <w:ind w:hanging="360" w:left="4091"/>
      </w:pPr>
      <w:rPr/>
      <w:start w:val="1"/>
      <w:suff w:val="tab"/>
    </w:lvl>
    <w:lvl w:ilvl="5">
      <w:isLgl w:val="false"/>
      <w:lvlJc w:val="right"/>
      <w:lvlText w:val="%6."/>
      <w:numFmt w:val="lowerRoman"/>
      <w:pPr>
        <w:pBdr/>
        <w:spacing/>
        <w:ind w:hanging="180" w:left="4811"/>
      </w:pPr>
      <w:rPr/>
      <w:start w:val="1"/>
      <w:suff w:val="tab"/>
    </w:lvl>
    <w:lvl w:ilvl="6">
      <w:isLgl w:val="false"/>
      <w:lvlJc w:val="left"/>
      <w:lvlText w:val="%7."/>
      <w:numFmt w:val="decimal"/>
      <w:pPr>
        <w:pBdr/>
        <w:spacing/>
        <w:ind w:hanging="360" w:left="5531"/>
      </w:pPr>
      <w:rPr/>
      <w:start w:val="1"/>
      <w:suff w:val="tab"/>
    </w:lvl>
    <w:lvl w:ilvl="7">
      <w:isLgl w:val="false"/>
      <w:lvlJc w:val="left"/>
      <w:lvlText w:val="%8."/>
      <w:numFmt w:val="lowerLetter"/>
      <w:pPr>
        <w:pBdr/>
        <w:spacing/>
        <w:ind w:hanging="360" w:left="6251"/>
      </w:pPr>
      <w:rPr/>
      <w:start w:val="1"/>
      <w:suff w:val="tab"/>
    </w:lvl>
    <w:lvl w:ilvl="8">
      <w:isLgl w:val="false"/>
      <w:lvlJc w:val="right"/>
      <w:lvlText w:val="%9."/>
      <w:numFmt w:val="lowerRoman"/>
      <w:pPr>
        <w:pBdr/>
        <w:spacing/>
        <w:ind w:hanging="180" w:left="6971"/>
      </w:pPr>
      <w:rPr/>
      <w:start w:val="1"/>
      <w:suff w:val="tab"/>
    </w:lvl>
  </w:abstractNum>
  <w:abstractNum w:abstractNumId="7">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8">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0">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lvl w:ilvl="0">
      <w:isLgl w:val="false"/>
      <w:lvlJc w:val="left"/>
      <w:lvlText w:val="%1."/>
      <w:numFmt w:val="decimal"/>
      <w:pPr>
        <w:pBdr/>
        <w:spacing/>
        <w:ind w:hanging="360" w:left="1211"/>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num w:numId="1">
    <w:abstractNumId w:val="8"/>
  </w:num>
  <w:num w:numId="2">
    <w:abstractNumId w:val="3"/>
  </w:num>
  <w:num w:numId="3">
    <w:abstractNumId w:val="10"/>
  </w:num>
  <w:num w:numId="4">
    <w:abstractNumId w:val="0"/>
  </w:num>
  <w:num w:numId="5">
    <w:abstractNumId w:val="11"/>
  </w:num>
  <w:num w:numId="6">
    <w:abstractNumId w:val="12"/>
  </w:num>
  <w:num w:numId="7">
    <w:abstractNumId w:val="7"/>
  </w:num>
  <w:num w:numId="8">
    <w:abstractNumId w:val="4"/>
  </w:num>
  <w:num w:numId="9">
    <w:abstractNumId w:val="1"/>
  </w:num>
  <w:num w:numId="10">
    <w:abstractNumId w:val="5"/>
  </w:num>
  <w:num w:numId="11">
    <w:abstractNumId w:val="6"/>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uk-UA"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43" w:default="1">
    <w:name w:val="Normal"/>
    <w:qFormat/>
    <w:pPr>
      <w:pBdr/>
      <w:spacing/>
      <w:ind/>
    </w:pPr>
  </w:style>
  <w:style w:type="paragraph" w:styleId="744">
    <w:name w:val="Heading 1"/>
    <w:basedOn w:val="743"/>
    <w:next w:val="743"/>
    <w:link w:val="799"/>
    <w:uiPriority w:val="9"/>
    <w:qFormat/>
    <w:pPr>
      <w:keepNext w:val="true"/>
      <w:keepLines w:val="true"/>
      <w:pBdr/>
      <w:spacing w:before="480"/>
      <w:ind/>
      <w:outlineLvl w:val="0"/>
    </w:pPr>
    <w:rPr>
      <w:rFonts w:ascii="Arial" w:hAnsi="Arial" w:eastAsia="Arial" w:cs="Arial"/>
      <w:sz w:val="40"/>
      <w:szCs w:val="40"/>
    </w:rPr>
  </w:style>
  <w:style w:type="paragraph" w:styleId="745">
    <w:name w:val="Heading 2"/>
    <w:basedOn w:val="743"/>
    <w:next w:val="743"/>
    <w:link w:val="800"/>
    <w:uiPriority w:val="9"/>
    <w:unhideWhenUsed/>
    <w:qFormat/>
    <w:pPr>
      <w:keepNext w:val="true"/>
      <w:keepLines w:val="true"/>
      <w:pBdr/>
      <w:spacing w:before="360"/>
      <w:ind/>
      <w:outlineLvl w:val="1"/>
    </w:pPr>
    <w:rPr>
      <w:rFonts w:ascii="Arial" w:hAnsi="Arial" w:eastAsia="Arial" w:cs="Arial"/>
      <w:sz w:val="34"/>
    </w:rPr>
  </w:style>
  <w:style w:type="paragraph" w:styleId="746">
    <w:name w:val="Heading 3"/>
    <w:basedOn w:val="743"/>
    <w:next w:val="743"/>
    <w:link w:val="801"/>
    <w:uiPriority w:val="9"/>
    <w:unhideWhenUsed/>
    <w:qFormat/>
    <w:pPr>
      <w:keepNext w:val="true"/>
      <w:keepLines w:val="true"/>
      <w:pBdr/>
      <w:spacing w:before="320"/>
      <w:ind/>
      <w:outlineLvl w:val="2"/>
    </w:pPr>
    <w:rPr>
      <w:rFonts w:ascii="Arial" w:hAnsi="Arial" w:eastAsia="Arial" w:cs="Arial"/>
      <w:sz w:val="30"/>
      <w:szCs w:val="30"/>
    </w:rPr>
  </w:style>
  <w:style w:type="paragraph" w:styleId="747">
    <w:name w:val="Heading 4"/>
    <w:basedOn w:val="743"/>
    <w:next w:val="743"/>
    <w:link w:val="802"/>
    <w:uiPriority w:val="9"/>
    <w:unhideWhenUsed/>
    <w:qFormat/>
    <w:pPr>
      <w:keepNext w:val="true"/>
      <w:keepLines w:val="true"/>
      <w:pBdr/>
      <w:spacing w:before="320"/>
      <w:ind/>
      <w:outlineLvl w:val="3"/>
    </w:pPr>
    <w:rPr>
      <w:rFonts w:ascii="Arial" w:hAnsi="Arial" w:eastAsia="Arial" w:cs="Arial"/>
      <w:b/>
      <w:bCs/>
      <w:sz w:val="26"/>
      <w:szCs w:val="26"/>
    </w:rPr>
  </w:style>
  <w:style w:type="paragraph" w:styleId="748">
    <w:name w:val="Heading 5"/>
    <w:basedOn w:val="743"/>
    <w:next w:val="743"/>
    <w:link w:val="803"/>
    <w:uiPriority w:val="9"/>
    <w:unhideWhenUsed/>
    <w:qFormat/>
    <w:pPr>
      <w:keepNext w:val="true"/>
      <w:keepLines w:val="true"/>
      <w:pBdr/>
      <w:spacing w:before="320"/>
      <w:ind/>
      <w:outlineLvl w:val="4"/>
    </w:pPr>
    <w:rPr>
      <w:rFonts w:ascii="Arial" w:hAnsi="Arial" w:eastAsia="Arial" w:cs="Arial"/>
      <w:b/>
      <w:bCs/>
      <w:sz w:val="24"/>
      <w:szCs w:val="24"/>
    </w:rPr>
  </w:style>
  <w:style w:type="paragraph" w:styleId="749">
    <w:name w:val="Heading 6"/>
    <w:basedOn w:val="743"/>
    <w:next w:val="743"/>
    <w:link w:val="804"/>
    <w:uiPriority w:val="9"/>
    <w:unhideWhenUsed/>
    <w:qFormat/>
    <w:pPr>
      <w:keepNext w:val="true"/>
      <w:keepLines w:val="true"/>
      <w:pBdr/>
      <w:spacing w:before="320"/>
      <w:ind/>
      <w:outlineLvl w:val="5"/>
    </w:pPr>
    <w:rPr>
      <w:rFonts w:ascii="Arial" w:hAnsi="Arial" w:eastAsia="Arial" w:cs="Arial"/>
      <w:b/>
      <w:bCs/>
    </w:rPr>
  </w:style>
  <w:style w:type="paragraph" w:styleId="750">
    <w:name w:val="Heading 7"/>
    <w:basedOn w:val="743"/>
    <w:next w:val="743"/>
    <w:link w:val="805"/>
    <w:uiPriority w:val="9"/>
    <w:unhideWhenUsed/>
    <w:qFormat/>
    <w:pPr>
      <w:keepNext w:val="true"/>
      <w:keepLines w:val="true"/>
      <w:pBdr/>
      <w:spacing w:before="320"/>
      <w:ind/>
      <w:outlineLvl w:val="6"/>
    </w:pPr>
    <w:rPr>
      <w:rFonts w:ascii="Arial" w:hAnsi="Arial" w:eastAsia="Arial" w:cs="Arial"/>
      <w:b/>
      <w:bCs/>
      <w:i/>
      <w:iCs/>
    </w:rPr>
  </w:style>
  <w:style w:type="paragraph" w:styleId="751">
    <w:name w:val="Heading 8"/>
    <w:basedOn w:val="743"/>
    <w:next w:val="743"/>
    <w:link w:val="806"/>
    <w:uiPriority w:val="9"/>
    <w:unhideWhenUsed/>
    <w:qFormat/>
    <w:pPr>
      <w:keepNext w:val="true"/>
      <w:keepLines w:val="true"/>
      <w:pBdr/>
      <w:spacing w:before="320"/>
      <w:ind/>
      <w:outlineLvl w:val="7"/>
    </w:pPr>
    <w:rPr>
      <w:rFonts w:ascii="Arial" w:hAnsi="Arial" w:eastAsia="Arial" w:cs="Arial"/>
      <w:i/>
      <w:iCs/>
    </w:rPr>
  </w:style>
  <w:style w:type="paragraph" w:styleId="752">
    <w:name w:val="Heading 9"/>
    <w:basedOn w:val="743"/>
    <w:next w:val="743"/>
    <w:link w:val="807"/>
    <w:uiPriority w:val="9"/>
    <w:unhideWhenUsed/>
    <w:qFormat/>
    <w:pPr>
      <w:keepNext w:val="true"/>
      <w:keepLines w:val="true"/>
      <w:pBdr/>
      <w:spacing w:before="320"/>
      <w:ind/>
      <w:outlineLvl w:val="8"/>
    </w:pPr>
    <w:rPr>
      <w:rFonts w:ascii="Arial" w:hAnsi="Arial" w:eastAsia="Arial" w:cs="Arial"/>
      <w:i/>
      <w:iCs/>
      <w:sz w:val="21"/>
      <w:szCs w:val="21"/>
    </w:rPr>
  </w:style>
  <w:style w:type="character" w:styleId="753" w:default="1">
    <w:name w:val="Default Paragraph Font"/>
    <w:uiPriority w:val="1"/>
    <w:semiHidden/>
    <w:unhideWhenUsed/>
    <w:pPr>
      <w:pBdr/>
      <w:spacing/>
      <w:ind/>
    </w:pPr>
  </w:style>
  <w:style w:type="table" w:styleId="754"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55" w:default="1">
    <w:name w:val="No List"/>
    <w:uiPriority w:val="99"/>
    <w:semiHidden/>
    <w:unhideWhenUsed/>
    <w:pPr>
      <w:pBdr/>
      <w:spacing/>
      <w:ind/>
    </w:pPr>
  </w:style>
  <w:style w:type="table" w:styleId="756">
    <w:name w:val="Plain Table 1"/>
    <w:basedOn w:val="754"/>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Plain Table 2"/>
    <w:basedOn w:val="754"/>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Plain Table 3"/>
    <w:basedOn w:val="754"/>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Plain Table 4"/>
    <w:basedOn w:val="754"/>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Plain Table 5"/>
    <w:basedOn w:val="754"/>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1 Light"/>
    <w:basedOn w:val="754"/>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2"/>
    <w:basedOn w:val="754"/>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3"/>
    <w:basedOn w:val="754"/>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4"/>
    <w:basedOn w:val="754"/>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5 Dark"/>
    <w:basedOn w:val="754"/>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6 Colorful"/>
    <w:basedOn w:val="754"/>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7 Colorful"/>
    <w:basedOn w:val="754"/>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1 Light"/>
    <w:basedOn w:val="75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2"/>
    <w:basedOn w:val="754"/>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3"/>
    <w:basedOn w:val="754"/>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w:basedOn w:val="754"/>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basedOn w:val="754"/>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6 Colorful"/>
    <w:basedOn w:val="754"/>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7 Colorful"/>
    <w:basedOn w:val="754"/>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775">
    <w:name w:val="Placeholder Text"/>
    <w:basedOn w:val="753"/>
    <w:uiPriority w:val="99"/>
    <w:semiHidden/>
    <w:pPr>
      <w:pBdr/>
      <w:spacing/>
      <w:ind/>
    </w:pPr>
    <w:rPr>
      <w:color w:val="666666"/>
    </w:rPr>
  </w:style>
  <w:style w:type="character" w:styleId="776">
    <w:name w:val="Intense Emphasis"/>
    <w:basedOn w:val="753"/>
    <w:uiPriority w:val="21"/>
    <w:qFormat/>
    <w:pPr>
      <w:pBdr/>
      <w:spacing/>
      <w:ind/>
    </w:pPr>
    <w:rPr>
      <w:i/>
      <w:iCs/>
      <w:color w:val="365f91" w:themeColor="accent1" w:themeShade="BF"/>
    </w:rPr>
  </w:style>
  <w:style w:type="character" w:styleId="777">
    <w:name w:val="Intense Reference"/>
    <w:basedOn w:val="753"/>
    <w:uiPriority w:val="32"/>
    <w:qFormat/>
    <w:pPr>
      <w:pBdr/>
      <w:spacing/>
      <w:ind/>
    </w:pPr>
    <w:rPr>
      <w:b/>
      <w:bCs/>
      <w:smallCaps/>
      <w:color w:val="365f91" w:themeColor="accent1" w:themeShade="BF"/>
      <w:spacing w:val="5"/>
    </w:rPr>
  </w:style>
  <w:style w:type="character" w:styleId="778">
    <w:name w:val="Subtle Emphasis"/>
    <w:basedOn w:val="753"/>
    <w:uiPriority w:val="19"/>
    <w:qFormat/>
    <w:pPr>
      <w:pBdr/>
      <w:spacing/>
      <w:ind/>
    </w:pPr>
    <w:rPr>
      <w:i/>
      <w:iCs/>
      <w:color w:val="404040" w:themeColor="text1" w:themeTint="BF"/>
    </w:rPr>
  </w:style>
  <w:style w:type="character" w:styleId="779">
    <w:name w:val="Emphasis"/>
    <w:basedOn w:val="753"/>
    <w:uiPriority w:val="20"/>
    <w:qFormat/>
    <w:pPr>
      <w:pBdr/>
      <w:spacing/>
      <w:ind/>
    </w:pPr>
    <w:rPr>
      <w:i/>
      <w:iCs/>
    </w:rPr>
  </w:style>
  <w:style w:type="character" w:styleId="780">
    <w:name w:val="Strong"/>
    <w:basedOn w:val="753"/>
    <w:uiPriority w:val="22"/>
    <w:qFormat/>
    <w:pPr>
      <w:pBdr/>
      <w:spacing/>
      <w:ind/>
    </w:pPr>
    <w:rPr>
      <w:b/>
      <w:bCs/>
    </w:rPr>
  </w:style>
  <w:style w:type="character" w:styleId="781">
    <w:name w:val="Subtle Reference"/>
    <w:basedOn w:val="753"/>
    <w:uiPriority w:val="31"/>
    <w:qFormat/>
    <w:pPr>
      <w:pBdr/>
      <w:spacing/>
      <w:ind/>
    </w:pPr>
    <w:rPr>
      <w:smallCaps/>
      <w:color w:val="5a5a5a" w:themeColor="text1" w:themeTint="A5"/>
    </w:rPr>
  </w:style>
  <w:style w:type="character" w:styleId="782">
    <w:name w:val="Book Title"/>
    <w:basedOn w:val="753"/>
    <w:uiPriority w:val="33"/>
    <w:qFormat/>
    <w:pPr>
      <w:pBdr/>
      <w:spacing/>
      <w:ind/>
    </w:pPr>
    <w:rPr>
      <w:b/>
      <w:bCs/>
      <w:i/>
      <w:iCs/>
      <w:spacing w:val="5"/>
    </w:rPr>
  </w:style>
  <w:style w:type="character" w:styleId="783">
    <w:name w:val="FollowedHyperlink"/>
    <w:basedOn w:val="753"/>
    <w:uiPriority w:val="99"/>
    <w:semiHidden/>
    <w:unhideWhenUsed/>
    <w:pPr>
      <w:pBdr/>
      <w:spacing/>
      <w:ind/>
    </w:pPr>
    <w:rPr>
      <w:color w:val="800080" w:themeColor="followedHyperlink"/>
      <w:u w:val="single"/>
    </w:rPr>
  </w:style>
  <w:style w:type="character" w:styleId="784" w:customStyle="1">
    <w:name w:val="Heading 1 Char"/>
    <w:basedOn w:val="753"/>
    <w:uiPriority w:val="9"/>
    <w:pPr>
      <w:pBdr/>
      <w:spacing/>
      <w:ind/>
    </w:pPr>
    <w:rPr>
      <w:rFonts w:ascii="Arial" w:hAnsi="Arial" w:eastAsia="Arial" w:cs="Arial"/>
      <w:sz w:val="40"/>
      <w:szCs w:val="40"/>
    </w:rPr>
  </w:style>
  <w:style w:type="character" w:styleId="785" w:customStyle="1">
    <w:name w:val="Heading 2 Char"/>
    <w:basedOn w:val="753"/>
    <w:uiPriority w:val="9"/>
    <w:pPr>
      <w:pBdr/>
      <w:spacing/>
      <w:ind/>
    </w:pPr>
    <w:rPr>
      <w:rFonts w:ascii="Arial" w:hAnsi="Arial" w:eastAsia="Arial" w:cs="Arial"/>
      <w:sz w:val="34"/>
    </w:rPr>
  </w:style>
  <w:style w:type="character" w:styleId="786" w:customStyle="1">
    <w:name w:val="Heading 3 Char"/>
    <w:basedOn w:val="753"/>
    <w:uiPriority w:val="9"/>
    <w:pPr>
      <w:pBdr/>
      <w:spacing/>
      <w:ind/>
    </w:pPr>
    <w:rPr>
      <w:rFonts w:ascii="Arial" w:hAnsi="Arial" w:eastAsia="Arial" w:cs="Arial"/>
      <w:sz w:val="30"/>
      <w:szCs w:val="30"/>
    </w:rPr>
  </w:style>
  <w:style w:type="character" w:styleId="787" w:customStyle="1">
    <w:name w:val="Heading 4 Char"/>
    <w:basedOn w:val="753"/>
    <w:uiPriority w:val="9"/>
    <w:pPr>
      <w:pBdr/>
      <w:spacing/>
      <w:ind/>
    </w:pPr>
    <w:rPr>
      <w:rFonts w:ascii="Arial" w:hAnsi="Arial" w:eastAsia="Arial" w:cs="Arial"/>
      <w:b/>
      <w:bCs/>
      <w:sz w:val="26"/>
      <w:szCs w:val="26"/>
    </w:rPr>
  </w:style>
  <w:style w:type="character" w:styleId="788" w:customStyle="1">
    <w:name w:val="Heading 5 Char"/>
    <w:basedOn w:val="753"/>
    <w:uiPriority w:val="9"/>
    <w:pPr>
      <w:pBdr/>
      <w:spacing/>
      <w:ind/>
    </w:pPr>
    <w:rPr>
      <w:rFonts w:ascii="Arial" w:hAnsi="Arial" w:eastAsia="Arial" w:cs="Arial"/>
      <w:b/>
      <w:bCs/>
      <w:sz w:val="24"/>
      <w:szCs w:val="24"/>
    </w:rPr>
  </w:style>
  <w:style w:type="character" w:styleId="789" w:customStyle="1">
    <w:name w:val="Heading 6 Char"/>
    <w:basedOn w:val="753"/>
    <w:uiPriority w:val="9"/>
    <w:pPr>
      <w:pBdr/>
      <w:spacing/>
      <w:ind/>
    </w:pPr>
    <w:rPr>
      <w:rFonts w:ascii="Arial" w:hAnsi="Arial" w:eastAsia="Arial" w:cs="Arial"/>
      <w:b/>
      <w:bCs/>
      <w:sz w:val="22"/>
      <w:szCs w:val="22"/>
    </w:rPr>
  </w:style>
  <w:style w:type="character" w:styleId="790" w:customStyle="1">
    <w:name w:val="Heading 7 Char"/>
    <w:basedOn w:val="753"/>
    <w:uiPriority w:val="9"/>
    <w:pPr>
      <w:pBdr/>
      <w:spacing/>
      <w:ind/>
    </w:pPr>
    <w:rPr>
      <w:rFonts w:ascii="Arial" w:hAnsi="Arial" w:eastAsia="Arial" w:cs="Arial"/>
      <w:b/>
      <w:bCs/>
      <w:i/>
      <w:iCs/>
      <w:sz w:val="22"/>
      <w:szCs w:val="22"/>
    </w:rPr>
  </w:style>
  <w:style w:type="character" w:styleId="791" w:customStyle="1">
    <w:name w:val="Heading 8 Char"/>
    <w:basedOn w:val="753"/>
    <w:uiPriority w:val="9"/>
    <w:pPr>
      <w:pBdr/>
      <w:spacing/>
      <w:ind/>
    </w:pPr>
    <w:rPr>
      <w:rFonts w:ascii="Arial" w:hAnsi="Arial" w:eastAsia="Arial" w:cs="Arial"/>
      <w:i/>
      <w:iCs/>
      <w:sz w:val="22"/>
      <w:szCs w:val="22"/>
    </w:rPr>
  </w:style>
  <w:style w:type="character" w:styleId="792" w:customStyle="1">
    <w:name w:val="Heading 9 Char"/>
    <w:basedOn w:val="753"/>
    <w:uiPriority w:val="9"/>
    <w:pPr>
      <w:pBdr/>
      <w:spacing/>
      <w:ind/>
    </w:pPr>
    <w:rPr>
      <w:rFonts w:ascii="Arial" w:hAnsi="Arial" w:eastAsia="Arial" w:cs="Arial"/>
      <w:i/>
      <w:iCs/>
      <w:sz w:val="21"/>
      <w:szCs w:val="21"/>
    </w:rPr>
  </w:style>
  <w:style w:type="character" w:styleId="793" w:customStyle="1">
    <w:name w:val="Title Char"/>
    <w:basedOn w:val="753"/>
    <w:uiPriority w:val="10"/>
    <w:pPr>
      <w:pBdr/>
      <w:spacing/>
      <w:ind/>
    </w:pPr>
    <w:rPr>
      <w:sz w:val="48"/>
      <w:szCs w:val="48"/>
    </w:rPr>
  </w:style>
  <w:style w:type="character" w:styleId="794" w:customStyle="1">
    <w:name w:val="Subtitle Char"/>
    <w:basedOn w:val="753"/>
    <w:uiPriority w:val="11"/>
    <w:pPr>
      <w:pBdr/>
      <w:spacing/>
      <w:ind/>
    </w:pPr>
    <w:rPr>
      <w:sz w:val="24"/>
      <w:szCs w:val="24"/>
    </w:rPr>
  </w:style>
  <w:style w:type="character" w:styleId="795" w:customStyle="1">
    <w:name w:val="Quote Char"/>
    <w:uiPriority w:val="29"/>
    <w:pPr>
      <w:pBdr/>
      <w:spacing/>
      <w:ind/>
    </w:pPr>
    <w:rPr>
      <w:i/>
    </w:rPr>
  </w:style>
  <w:style w:type="character" w:styleId="796" w:customStyle="1">
    <w:name w:val="Intense Quote Char"/>
    <w:uiPriority w:val="30"/>
    <w:pPr>
      <w:pBdr/>
      <w:spacing/>
      <w:ind/>
    </w:pPr>
    <w:rPr>
      <w:i/>
    </w:rPr>
  </w:style>
  <w:style w:type="character" w:styleId="797" w:customStyle="1">
    <w:name w:val="Footnote Text Char"/>
    <w:uiPriority w:val="99"/>
    <w:pPr>
      <w:pBdr/>
      <w:spacing/>
      <w:ind/>
    </w:pPr>
    <w:rPr>
      <w:sz w:val="18"/>
    </w:rPr>
  </w:style>
  <w:style w:type="character" w:styleId="798" w:customStyle="1">
    <w:name w:val="Endnote Text Char"/>
    <w:uiPriority w:val="99"/>
    <w:pPr>
      <w:pBdr/>
      <w:spacing/>
      <w:ind/>
    </w:pPr>
    <w:rPr>
      <w:sz w:val="20"/>
    </w:rPr>
  </w:style>
  <w:style w:type="character" w:styleId="799" w:customStyle="1">
    <w:name w:val="Заголовок 1 Знак"/>
    <w:basedOn w:val="753"/>
    <w:link w:val="744"/>
    <w:uiPriority w:val="9"/>
    <w:pPr>
      <w:pBdr/>
      <w:spacing/>
      <w:ind/>
    </w:pPr>
    <w:rPr>
      <w:rFonts w:ascii="Arial" w:hAnsi="Arial" w:eastAsia="Arial" w:cs="Arial"/>
      <w:sz w:val="40"/>
      <w:szCs w:val="40"/>
    </w:rPr>
  </w:style>
  <w:style w:type="character" w:styleId="800" w:customStyle="1">
    <w:name w:val="Заголовок 2 Знак"/>
    <w:basedOn w:val="753"/>
    <w:link w:val="745"/>
    <w:uiPriority w:val="9"/>
    <w:pPr>
      <w:pBdr/>
      <w:spacing/>
      <w:ind/>
    </w:pPr>
    <w:rPr>
      <w:rFonts w:ascii="Arial" w:hAnsi="Arial" w:eastAsia="Arial" w:cs="Arial"/>
      <w:sz w:val="34"/>
    </w:rPr>
  </w:style>
  <w:style w:type="character" w:styleId="801" w:customStyle="1">
    <w:name w:val="Заголовок 3 Знак"/>
    <w:basedOn w:val="753"/>
    <w:link w:val="746"/>
    <w:uiPriority w:val="9"/>
    <w:pPr>
      <w:pBdr/>
      <w:spacing/>
      <w:ind/>
    </w:pPr>
    <w:rPr>
      <w:rFonts w:ascii="Arial" w:hAnsi="Arial" w:eastAsia="Arial" w:cs="Arial"/>
      <w:sz w:val="30"/>
      <w:szCs w:val="30"/>
    </w:rPr>
  </w:style>
  <w:style w:type="character" w:styleId="802" w:customStyle="1">
    <w:name w:val="Заголовок 4 Знак"/>
    <w:basedOn w:val="753"/>
    <w:link w:val="747"/>
    <w:uiPriority w:val="9"/>
    <w:pPr>
      <w:pBdr/>
      <w:spacing/>
      <w:ind/>
    </w:pPr>
    <w:rPr>
      <w:rFonts w:ascii="Arial" w:hAnsi="Arial" w:eastAsia="Arial" w:cs="Arial"/>
      <w:b/>
      <w:bCs/>
      <w:sz w:val="26"/>
      <w:szCs w:val="26"/>
    </w:rPr>
  </w:style>
  <w:style w:type="character" w:styleId="803" w:customStyle="1">
    <w:name w:val="Заголовок 5 Знак"/>
    <w:basedOn w:val="753"/>
    <w:link w:val="748"/>
    <w:uiPriority w:val="9"/>
    <w:pPr>
      <w:pBdr/>
      <w:spacing/>
      <w:ind/>
    </w:pPr>
    <w:rPr>
      <w:rFonts w:ascii="Arial" w:hAnsi="Arial" w:eastAsia="Arial" w:cs="Arial"/>
      <w:b/>
      <w:bCs/>
      <w:sz w:val="24"/>
      <w:szCs w:val="24"/>
    </w:rPr>
  </w:style>
  <w:style w:type="character" w:styleId="804" w:customStyle="1">
    <w:name w:val="Заголовок 6 Знак"/>
    <w:basedOn w:val="753"/>
    <w:link w:val="749"/>
    <w:uiPriority w:val="9"/>
    <w:pPr>
      <w:pBdr/>
      <w:spacing/>
      <w:ind/>
    </w:pPr>
    <w:rPr>
      <w:rFonts w:ascii="Arial" w:hAnsi="Arial" w:eastAsia="Arial" w:cs="Arial"/>
      <w:b/>
      <w:bCs/>
      <w:sz w:val="22"/>
      <w:szCs w:val="22"/>
    </w:rPr>
  </w:style>
  <w:style w:type="character" w:styleId="805" w:customStyle="1">
    <w:name w:val="Заголовок 7 Знак"/>
    <w:basedOn w:val="753"/>
    <w:link w:val="750"/>
    <w:uiPriority w:val="9"/>
    <w:pPr>
      <w:pBdr/>
      <w:spacing/>
      <w:ind/>
    </w:pPr>
    <w:rPr>
      <w:rFonts w:ascii="Arial" w:hAnsi="Arial" w:eastAsia="Arial" w:cs="Arial"/>
      <w:b/>
      <w:bCs/>
      <w:i/>
      <w:iCs/>
      <w:sz w:val="22"/>
      <w:szCs w:val="22"/>
    </w:rPr>
  </w:style>
  <w:style w:type="character" w:styleId="806" w:customStyle="1">
    <w:name w:val="Заголовок 8 Знак"/>
    <w:basedOn w:val="753"/>
    <w:link w:val="751"/>
    <w:uiPriority w:val="9"/>
    <w:pPr>
      <w:pBdr/>
      <w:spacing/>
      <w:ind/>
    </w:pPr>
    <w:rPr>
      <w:rFonts w:ascii="Arial" w:hAnsi="Arial" w:eastAsia="Arial" w:cs="Arial"/>
      <w:i/>
      <w:iCs/>
      <w:sz w:val="22"/>
      <w:szCs w:val="22"/>
    </w:rPr>
  </w:style>
  <w:style w:type="character" w:styleId="807" w:customStyle="1">
    <w:name w:val="Заголовок 9 Знак"/>
    <w:basedOn w:val="753"/>
    <w:link w:val="752"/>
    <w:uiPriority w:val="9"/>
    <w:pPr>
      <w:pBdr/>
      <w:spacing/>
      <w:ind/>
    </w:pPr>
    <w:rPr>
      <w:rFonts w:ascii="Arial" w:hAnsi="Arial" w:eastAsia="Arial" w:cs="Arial"/>
      <w:i/>
      <w:iCs/>
      <w:sz w:val="21"/>
      <w:szCs w:val="21"/>
    </w:rPr>
  </w:style>
  <w:style w:type="paragraph" w:styleId="808">
    <w:name w:val="No Spacing"/>
    <w:uiPriority w:val="1"/>
    <w:qFormat/>
    <w:pPr>
      <w:pBdr/>
      <w:spacing w:after="0" w:line="240" w:lineRule="auto"/>
      <w:ind/>
    </w:pPr>
  </w:style>
  <w:style w:type="paragraph" w:styleId="809">
    <w:name w:val="Title"/>
    <w:basedOn w:val="743"/>
    <w:next w:val="743"/>
    <w:link w:val="810"/>
    <w:uiPriority w:val="10"/>
    <w:qFormat/>
    <w:pPr>
      <w:pBdr/>
      <w:spacing w:before="300"/>
      <w:ind/>
      <w:contextualSpacing w:val="true"/>
    </w:pPr>
    <w:rPr>
      <w:sz w:val="48"/>
      <w:szCs w:val="48"/>
    </w:rPr>
  </w:style>
  <w:style w:type="character" w:styleId="810" w:customStyle="1">
    <w:name w:val="Назва Знак"/>
    <w:basedOn w:val="753"/>
    <w:link w:val="809"/>
    <w:uiPriority w:val="10"/>
    <w:pPr>
      <w:pBdr/>
      <w:spacing/>
      <w:ind/>
    </w:pPr>
    <w:rPr>
      <w:sz w:val="48"/>
      <w:szCs w:val="48"/>
    </w:rPr>
  </w:style>
  <w:style w:type="paragraph" w:styleId="811">
    <w:name w:val="Subtitle"/>
    <w:basedOn w:val="743"/>
    <w:next w:val="743"/>
    <w:link w:val="812"/>
    <w:uiPriority w:val="11"/>
    <w:qFormat/>
    <w:pPr>
      <w:pBdr/>
      <w:spacing w:before="200"/>
      <w:ind/>
    </w:pPr>
    <w:rPr>
      <w:sz w:val="24"/>
      <w:szCs w:val="24"/>
    </w:rPr>
  </w:style>
  <w:style w:type="character" w:styleId="812" w:customStyle="1">
    <w:name w:val="Підзаголовок Знак"/>
    <w:basedOn w:val="753"/>
    <w:link w:val="811"/>
    <w:uiPriority w:val="11"/>
    <w:pPr>
      <w:pBdr/>
      <w:spacing/>
      <w:ind/>
    </w:pPr>
    <w:rPr>
      <w:sz w:val="24"/>
      <w:szCs w:val="24"/>
    </w:rPr>
  </w:style>
  <w:style w:type="paragraph" w:styleId="813">
    <w:name w:val="Quote"/>
    <w:basedOn w:val="743"/>
    <w:next w:val="743"/>
    <w:link w:val="814"/>
    <w:uiPriority w:val="29"/>
    <w:qFormat/>
    <w:pPr>
      <w:pBdr/>
      <w:spacing/>
      <w:ind w:right="720" w:left="720"/>
    </w:pPr>
    <w:rPr>
      <w:i/>
    </w:rPr>
  </w:style>
  <w:style w:type="character" w:styleId="814" w:customStyle="1">
    <w:name w:val="Цитата Знак"/>
    <w:link w:val="813"/>
    <w:uiPriority w:val="29"/>
    <w:pPr>
      <w:pBdr/>
      <w:spacing/>
      <w:ind/>
    </w:pPr>
    <w:rPr>
      <w:i/>
    </w:rPr>
  </w:style>
  <w:style w:type="paragraph" w:styleId="815">
    <w:name w:val="Intense Quote"/>
    <w:basedOn w:val="743"/>
    <w:next w:val="743"/>
    <w:link w:val="816"/>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816" w:customStyle="1">
    <w:name w:val="Насичена цитата Знак"/>
    <w:link w:val="815"/>
    <w:uiPriority w:val="30"/>
    <w:pPr>
      <w:pBdr/>
      <w:spacing/>
      <w:ind/>
    </w:pPr>
    <w:rPr>
      <w:i/>
    </w:rPr>
  </w:style>
  <w:style w:type="character" w:styleId="817" w:customStyle="1">
    <w:name w:val="Header Char"/>
    <w:basedOn w:val="753"/>
    <w:uiPriority w:val="99"/>
    <w:pPr>
      <w:pBdr/>
      <w:spacing/>
      <w:ind/>
    </w:pPr>
  </w:style>
  <w:style w:type="character" w:styleId="818" w:customStyle="1">
    <w:name w:val="Footer Char"/>
    <w:basedOn w:val="753"/>
    <w:uiPriority w:val="99"/>
    <w:pPr>
      <w:pBdr/>
      <w:spacing/>
      <w:ind/>
    </w:pPr>
  </w:style>
  <w:style w:type="paragraph" w:styleId="819">
    <w:name w:val="Caption"/>
    <w:basedOn w:val="743"/>
    <w:next w:val="743"/>
    <w:uiPriority w:val="35"/>
    <w:semiHidden/>
    <w:unhideWhenUsed/>
    <w:qFormat/>
    <w:pPr>
      <w:pBdr/>
      <w:spacing/>
      <w:ind/>
    </w:pPr>
    <w:rPr>
      <w:b/>
      <w:bCs/>
      <w:color w:val="4f81bd" w:themeColor="accent1"/>
      <w:sz w:val="18"/>
      <w:szCs w:val="18"/>
    </w:rPr>
  </w:style>
  <w:style w:type="character" w:styleId="820" w:customStyle="1">
    <w:name w:val="Caption Char"/>
    <w:uiPriority w:val="99"/>
    <w:pPr>
      <w:pBdr/>
      <w:spacing/>
      <w:ind/>
    </w:pPr>
  </w:style>
  <w:style w:type="table" w:styleId="821" w:customStyle="1">
    <w:name w:val="Table Grid Light"/>
    <w:basedOn w:val="754"/>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Звичайна таблиця 11"/>
    <w:basedOn w:val="754"/>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Звичайна таблиця 21"/>
    <w:basedOn w:val="754"/>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Звичайна таблиця 31"/>
    <w:basedOn w:val="754"/>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Звичайна таблиця 41"/>
    <w:basedOn w:val="754"/>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Звичайна таблиця 51"/>
    <w:basedOn w:val="754"/>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Сітка таблиці 1 (світла)1"/>
    <w:basedOn w:val="754"/>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Grid Table 1 Light - Accent 1"/>
    <w:basedOn w:val="754"/>
    <w:uiPriority w:val="99"/>
    <w:pPr>
      <w:pBdr/>
      <w:spacing w:after="0" w:line="240" w:lineRule="auto"/>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Grid Table 1 Light - Accent 2"/>
    <w:basedOn w:val="754"/>
    <w:uiPriority w:val="99"/>
    <w:pPr>
      <w:pBdr/>
      <w:spacing w:after="0" w:line="240" w:lineRule="auto"/>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Grid Table 1 Light - Accent 3"/>
    <w:basedOn w:val="754"/>
    <w:uiPriority w:val="99"/>
    <w:pPr>
      <w:pBdr/>
      <w:spacing w:after="0" w:line="240" w:lineRule="auto"/>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Grid Table 1 Light - Accent 4"/>
    <w:basedOn w:val="754"/>
    <w:uiPriority w:val="99"/>
    <w:pPr>
      <w:pBdr/>
      <w:spacing w:after="0" w:line="240" w:lineRule="auto"/>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Grid Table 1 Light - Accent 5"/>
    <w:basedOn w:val="754"/>
    <w:uiPriority w:val="99"/>
    <w:pPr>
      <w:pBdr/>
      <w:spacing w:after="0" w:line="240" w:lineRule="auto"/>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Grid Table 1 Light - Accent 6"/>
    <w:basedOn w:val="754"/>
    <w:uiPriority w:val="99"/>
    <w:pPr>
      <w:pBdr/>
      <w:spacing w:after="0" w:line="240" w:lineRule="auto"/>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Таблиця-сітка 21"/>
    <w:basedOn w:val="754"/>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Grid Table 2 - Accent 1"/>
    <w:basedOn w:val="754"/>
    <w:uiPriority w:val="99"/>
    <w:pPr>
      <w:pBdr/>
      <w:spacing w:after="0" w:line="240" w:lineRule="auto"/>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Grid Table 2 - Accent 2"/>
    <w:basedOn w:val="754"/>
    <w:uiPriority w:val="99"/>
    <w:pPr>
      <w:pBdr/>
      <w:spacing w:after="0" w:line="240" w:lineRule="auto"/>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Grid Table 2 - Accent 3"/>
    <w:basedOn w:val="754"/>
    <w:uiPriority w:val="99"/>
    <w:pPr>
      <w:pBdr/>
      <w:spacing w:after="0" w:line="240" w:lineRule="auto"/>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Grid Table 2 - Accent 4"/>
    <w:basedOn w:val="754"/>
    <w:uiPriority w:val="99"/>
    <w:pPr>
      <w:pBdr/>
      <w:spacing w:after="0" w:line="240" w:lineRule="auto"/>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Grid Table 2 - Accent 5"/>
    <w:basedOn w:val="754"/>
    <w:uiPriority w:val="99"/>
    <w:pPr>
      <w:pBdr/>
      <w:spacing w:after="0" w:line="240" w:lineRule="auto"/>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Grid Table 2 - Accent 6"/>
    <w:basedOn w:val="754"/>
    <w:uiPriority w:val="99"/>
    <w:pPr>
      <w:pBdr/>
      <w:spacing w:after="0" w:line="240" w:lineRule="auto"/>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Таблиця-сітка 31"/>
    <w:basedOn w:val="754"/>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Grid Table 3 - Accent 1"/>
    <w:basedOn w:val="754"/>
    <w:uiPriority w:val="99"/>
    <w:pPr>
      <w:pBdr/>
      <w:spacing w:after="0" w:line="240" w:lineRule="auto"/>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Grid Table 3 - Accent 2"/>
    <w:basedOn w:val="754"/>
    <w:uiPriority w:val="99"/>
    <w:pPr>
      <w:pBdr/>
      <w:spacing w:after="0" w:line="240" w:lineRule="auto"/>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Grid Table 3 - Accent 3"/>
    <w:basedOn w:val="754"/>
    <w:uiPriority w:val="99"/>
    <w:pPr>
      <w:pBdr/>
      <w:spacing w:after="0" w:line="240" w:lineRule="auto"/>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Grid Table 3 - Accent 4"/>
    <w:basedOn w:val="754"/>
    <w:uiPriority w:val="99"/>
    <w:pPr>
      <w:pBdr/>
      <w:spacing w:after="0" w:line="240" w:lineRule="auto"/>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Grid Table 3 - Accent 5"/>
    <w:basedOn w:val="754"/>
    <w:uiPriority w:val="99"/>
    <w:pPr>
      <w:pBdr/>
      <w:spacing w:after="0" w:line="240" w:lineRule="auto"/>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Grid Table 3 - Accent 6"/>
    <w:basedOn w:val="754"/>
    <w:uiPriority w:val="99"/>
    <w:pPr>
      <w:pBdr/>
      <w:spacing w:after="0" w:line="240" w:lineRule="auto"/>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Таблиця-сітка 41"/>
    <w:basedOn w:val="754"/>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Grid Table 4 - Accent 1"/>
    <w:basedOn w:val="754"/>
    <w:uiPriority w:val="59"/>
    <w:pPr>
      <w:pBdr/>
      <w:spacing w:after="0" w:line="240" w:lineRule="auto"/>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Grid Table 4 - Accent 2"/>
    <w:basedOn w:val="754"/>
    <w:uiPriority w:val="59"/>
    <w:pPr>
      <w:pBdr/>
      <w:spacing w:after="0" w:line="240" w:lineRule="auto"/>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Grid Table 4 - Accent 3"/>
    <w:basedOn w:val="754"/>
    <w:uiPriority w:val="59"/>
    <w:pPr>
      <w:pBdr/>
      <w:spacing w:after="0" w:line="240" w:lineRule="auto"/>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Grid Table 4 - Accent 4"/>
    <w:basedOn w:val="754"/>
    <w:uiPriority w:val="59"/>
    <w:pPr>
      <w:pBdr/>
      <w:spacing w:after="0" w:line="240" w:lineRule="auto"/>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Grid Table 4 - Accent 5"/>
    <w:basedOn w:val="754"/>
    <w:uiPriority w:val="59"/>
    <w:pPr>
      <w:pBdr/>
      <w:spacing w:after="0" w:line="240" w:lineRule="auto"/>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Grid Table 4 - Accent 6"/>
    <w:basedOn w:val="754"/>
    <w:uiPriority w:val="59"/>
    <w:pPr>
      <w:pBdr/>
      <w:spacing w:after="0" w:line="240" w:lineRule="auto"/>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Сітка таблиці 5 (темна)1"/>
    <w:basedOn w:val="754"/>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Grid Table 5 Dark- Accent 1"/>
    <w:basedOn w:val="754"/>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cPr>
      <w:tcBorders/>
    </w:tcPr>
    <w:tblStylePr w:type="band1Horz">
      <w:pPr>
        <w:pBdr/>
        <w:spacing/>
        <w:ind/>
      </w:pPr>
      <w:tblPr>
        <w:tblBorders/>
      </w:tblPr>
      <w:tcPr>
        <w:shd w:val="clear" w:color="aec4e0" w:themeColor="accent1" w:themeTint="75" w:fill="aec4e0" w:themeFill="accent1" w:themeFillTint="75"/>
        <w:tcBorders/>
      </w:tcPr>
    </w:tblStylePr>
    <w:tblStylePr w:type="band1Vert">
      <w:pPr>
        <w:pBdr/>
        <w:spacing/>
        <w:ind/>
      </w:pPr>
      <w:tblPr>
        <w:tblBorders/>
      </w:tblPr>
      <w:tcPr>
        <w:shd w:val="clear" w:color="aec4e0" w:themeColor="accent1" w:themeTint="75" w:fill="aec4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4f81bd" w:themeFill="accent1"/>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rFonts w:ascii="Arial" w:hAnsi="Arial"/>
        <w:b/>
        <w:color w:val="ffffff"/>
        <w:sz w:val="22"/>
      </w:rPr>
      <w:pPr>
        <w:pBdr/>
        <w:spacing/>
        <w:ind/>
      </w:pPr>
      <w:tblPr>
        <w:tblBorders/>
      </w:tblPr>
      <w:tcPr>
        <w:shd w:val="clear" w:color="4f81bd" w:themeColor="accent1" w:fill="4f81bd" w:themeFill="accent1"/>
        <w:tcBorders/>
      </w:tcPr>
    </w:tblStylePr>
    <w:tblStylePr w:type="lastRow">
      <w:rPr>
        <w:rFonts w:ascii="Arial" w:hAnsi="Arial"/>
        <w:b/>
        <w:color w:val="ffffff"/>
        <w:sz w:val="22"/>
      </w:rPr>
      <w:pPr>
        <w:pBdr/>
        <w:spacing/>
        <w:ind/>
      </w:pPr>
      <w:tblPr>
        <w:tblBorders/>
      </w:tblPr>
      <w:tcPr>
        <w:shd w:val="clear" w:color="4f81bd" w:themeColor="accent1" w:fill="4f81bd"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Grid Table 5 Dark - Accent 2"/>
    <w:basedOn w:val="754"/>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cPr>
      <w:tcBorders/>
    </w:tcPr>
    <w:tblStylePr w:type="band1Horz">
      <w:pPr>
        <w:pBdr/>
        <w:spacing/>
        <w:ind/>
      </w:pPr>
      <w:tblPr>
        <w:tblBorders/>
      </w:tblPr>
      <w:tcPr>
        <w:shd w:val="clear" w:color="e2aead" w:themeColor="accent2" w:themeTint="75" w:fill="e2aead" w:themeFill="accent2" w:themeFillTint="75"/>
        <w:tcBorders/>
      </w:tcPr>
    </w:tblStylePr>
    <w:tblStylePr w:type="band1Vert">
      <w:pPr>
        <w:pBdr/>
        <w:spacing/>
        <w:ind/>
      </w:pPr>
      <w:tblPr>
        <w:tblBorders/>
      </w:tblPr>
      <w:tcPr>
        <w:shd w:val="clear" w:color="e2aead" w:themeColor="accent2" w:themeTint="75"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c0504d" w:themeFill="accent2"/>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rFonts w:ascii="Arial" w:hAnsi="Arial"/>
        <w:b/>
        <w:color w:val="ffffff"/>
        <w:sz w:val="22"/>
      </w:rPr>
      <w:pPr>
        <w:pBdr/>
        <w:spacing/>
        <w:ind/>
      </w:pPr>
      <w:tblPr>
        <w:tblBorders/>
      </w:tblPr>
      <w:tcPr>
        <w:shd w:val="clear" w:color="c0504d" w:themeColor="accent2" w:fill="c0504d" w:themeFill="accent2"/>
        <w:tcBorders/>
      </w:tcPr>
    </w:tblStylePr>
    <w:tblStylePr w:type="lastRow">
      <w:rPr>
        <w:rFonts w:ascii="Arial" w:hAnsi="Arial"/>
        <w:b/>
        <w:color w:val="ffffff"/>
        <w:sz w:val="22"/>
      </w:rPr>
      <w:pPr>
        <w:pBdr/>
        <w:spacing/>
        <w:ind/>
      </w:pPr>
      <w:tblPr>
        <w:tblBorders/>
      </w:tblPr>
      <w:tcPr>
        <w:shd w:val="clear" w:color="c0504d" w:themeColor="accent2"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Grid Table 5 Dark - Accent 3"/>
    <w:basedOn w:val="754"/>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cPr>
      <w:tcBorders/>
    </w:tcPr>
    <w:tblStylePr w:type="band1Horz">
      <w:pPr>
        <w:pBdr/>
        <w:spacing/>
        <w:ind/>
      </w:pPr>
      <w:tblPr>
        <w:tblBorders/>
      </w:tblPr>
      <w:tcPr>
        <w:shd w:val="clear" w:color="d0dfb2" w:themeColor="accent3" w:themeTint="75" w:fill="d0dfb2" w:themeFill="accent3" w:themeFillTint="75"/>
        <w:tcBorders/>
      </w:tcPr>
    </w:tblStylePr>
    <w:tblStylePr w:type="band1Vert">
      <w:pPr>
        <w:pBdr/>
        <w:spacing/>
        <w:ind/>
      </w:pPr>
      <w:tblPr>
        <w:tblBorders/>
      </w:tblPr>
      <w:tcPr>
        <w:shd w:val="clear" w:color="d0dfb2" w:themeColor="accent3" w:themeTint="75"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9bbb59" w:themeFill="accent3"/>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rFonts w:ascii="Arial" w:hAnsi="Arial"/>
        <w:b/>
        <w:color w:val="ffffff"/>
        <w:sz w:val="22"/>
      </w:rPr>
      <w:pPr>
        <w:pBdr/>
        <w:spacing/>
        <w:ind/>
      </w:pPr>
      <w:tblPr>
        <w:tblBorders/>
      </w:tblPr>
      <w:tcPr>
        <w:shd w:val="clear" w:color="9bbb59" w:themeColor="accent3" w:fill="9bbb59" w:themeFill="accent3"/>
        <w:tcBorders/>
      </w:tcPr>
    </w:tblStylePr>
    <w:tblStylePr w:type="lastRow">
      <w:rPr>
        <w:rFonts w:ascii="Arial" w:hAnsi="Arial"/>
        <w:b/>
        <w:color w:val="ffffff"/>
        <w:sz w:val="22"/>
      </w:rPr>
      <w:pPr>
        <w:pBdr/>
        <w:spacing/>
        <w:ind/>
      </w:pPr>
      <w:tblPr>
        <w:tblBorders/>
      </w:tblPr>
      <w:tcPr>
        <w:shd w:val="clear" w:color="9bbb59" w:themeColor="accent3"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Grid Table 5 Dark- Accent 4"/>
    <w:basedOn w:val="754"/>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cPr>
      <w:tcBorders/>
    </w:tcPr>
    <w:tblStylePr w:type="band1Horz">
      <w:pPr>
        <w:pBdr/>
        <w:spacing/>
        <w:ind/>
      </w:pPr>
      <w:tblPr>
        <w:tblBorders/>
      </w:tblPr>
      <w:tcPr>
        <w:shd w:val="clear" w:color="c4b7d4" w:themeColor="accent4" w:themeTint="75" w:fill="c4b7d4" w:themeFill="accent4" w:themeFillTint="75"/>
        <w:tcBorders/>
      </w:tcPr>
    </w:tblStylePr>
    <w:tblStylePr w:type="band1Vert">
      <w:pPr>
        <w:pBdr/>
        <w:spacing/>
        <w:ind/>
      </w:pPr>
      <w:tblPr>
        <w:tblBorders/>
      </w:tblPr>
      <w:tcPr>
        <w:shd w:val="clear" w:color="c4b7d4"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8064a2" w:themeFill="accent4"/>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rFonts w:ascii="Arial" w:hAnsi="Arial"/>
        <w:b/>
        <w:color w:val="ffffff"/>
        <w:sz w:val="22"/>
      </w:rPr>
      <w:pPr>
        <w:pBdr/>
        <w:spacing/>
        <w:ind/>
      </w:pPr>
      <w:tblPr>
        <w:tblBorders/>
      </w:tblPr>
      <w:tcPr>
        <w:shd w:val="clear" w:color="8064a2" w:themeColor="accent4" w:fill="8064a2" w:themeFill="accent4"/>
        <w:tcBorders/>
      </w:tcPr>
    </w:tblStylePr>
    <w:tblStylePr w:type="lastRow">
      <w:rPr>
        <w:rFonts w:ascii="Arial" w:hAnsi="Arial"/>
        <w:b/>
        <w:color w:val="ffffff"/>
        <w:sz w:val="22"/>
      </w:rPr>
      <w:pPr>
        <w:pBdr/>
        <w:spacing/>
        <w:ind/>
      </w:pPr>
      <w:tblPr>
        <w:tblBorders/>
      </w:tblPr>
      <w:tcPr>
        <w:shd w:val="clear" w:color="8064a2" w:themeColor="accent4" w:fill="8064a2"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Grid Table 5 Dark - Accent 5"/>
    <w:basedOn w:val="754"/>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cPr>
      <w:tcBorders/>
    </w:tcPr>
    <w:tblStylePr w:type="band1Horz">
      <w:pPr>
        <w:pBdr/>
        <w:spacing/>
        <w:ind/>
      </w:pPr>
      <w:tblPr>
        <w:tblBorders/>
      </w:tblPr>
      <w:tcPr>
        <w:shd w:val="clear" w:color="acd8e4" w:themeColor="accent5" w:themeTint="75" w:fill="acd8e4" w:themeFill="accent5" w:themeFillTint="75"/>
        <w:tcBorders/>
      </w:tcPr>
    </w:tblStylePr>
    <w:tblStylePr w:type="band1Vert">
      <w:pPr>
        <w:pBdr/>
        <w:spacing/>
        <w:ind/>
      </w:pPr>
      <w:tblPr>
        <w:tblBorders/>
      </w:tblPr>
      <w:tcPr>
        <w:shd w:val="clear" w:color="acd8e4" w:themeColor="accent5" w:themeTint="75"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4bacc6" w:themeFill="accent5"/>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rFonts w:ascii="Arial" w:hAnsi="Arial"/>
        <w:b/>
        <w:color w:val="ffffff"/>
        <w:sz w:val="22"/>
      </w:rPr>
      <w:pPr>
        <w:pBdr/>
        <w:spacing/>
        <w:ind/>
      </w:pPr>
      <w:tblPr>
        <w:tblBorders/>
      </w:tblPr>
      <w:tcPr>
        <w:shd w:val="clear" w:color="4bacc6" w:themeColor="accent5" w:fill="4bacc6" w:themeFill="accent5"/>
        <w:tcBorders/>
      </w:tcPr>
    </w:tblStylePr>
    <w:tblStylePr w:type="lastRow">
      <w:rPr>
        <w:rFonts w:ascii="Arial" w:hAnsi="Arial"/>
        <w:b/>
        <w:color w:val="ffffff"/>
        <w:sz w:val="22"/>
      </w:rPr>
      <w:pPr>
        <w:pBdr/>
        <w:spacing/>
        <w:ind/>
      </w:pPr>
      <w:tblPr>
        <w:tblBorders/>
      </w:tblPr>
      <w:tcPr>
        <w:shd w:val="clear" w:color="4bacc6" w:themeColor="accent5"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Grid Table 5 Dark - Accent 6"/>
    <w:basedOn w:val="754"/>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cPr>
      <w:tcBorders/>
    </w:tcPr>
    <w:tblStylePr w:type="band1Horz">
      <w:pPr>
        <w:pBdr/>
        <w:spacing/>
        <w:ind/>
      </w:pPr>
      <w:tblPr>
        <w:tblBorders/>
      </w:tblPr>
      <w:tcPr>
        <w:shd w:val="clear" w:color="fbceaa" w:themeColor="accent6" w:themeTint="75" w:fill="fbceaa" w:themeFill="accent6" w:themeFillTint="75"/>
        <w:tcBorders/>
      </w:tcPr>
    </w:tblStylePr>
    <w:tblStylePr w:type="band1Vert">
      <w:pPr>
        <w:pBdr/>
        <w:spacing/>
        <w:ind/>
      </w:pPr>
      <w:tblPr>
        <w:tblBorders/>
      </w:tblPr>
      <w:tcPr>
        <w:shd w:val="clear" w:color="fbceaa" w:themeColor="accent6" w:themeTint="75"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f79646" w:themeFill="accent6"/>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rFonts w:ascii="Arial" w:hAnsi="Arial"/>
        <w:b/>
        <w:color w:val="ffffff"/>
        <w:sz w:val="22"/>
      </w:rPr>
      <w:pPr>
        <w:pBdr/>
        <w:spacing/>
        <w:ind/>
      </w:pPr>
      <w:tblPr>
        <w:tblBorders/>
      </w:tblPr>
      <w:tcPr>
        <w:shd w:val="clear" w:color="f79646" w:themeColor="accent6" w:fill="f79646" w:themeFill="accent6"/>
        <w:tcBorders/>
      </w:tcPr>
    </w:tblStylePr>
    <w:tblStylePr w:type="lastRow">
      <w:rPr>
        <w:rFonts w:ascii="Arial" w:hAnsi="Arial"/>
        <w:b/>
        <w:color w:val="ffffff"/>
        <w:sz w:val="22"/>
      </w:rPr>
      <w:pPr>
        <w:pBdr/>
        <w:spacing/>
        <w:ind/>
      </w:pPr>
      <w:tblPr>
        <w:tblBorders/>
      </w:tblPr>
      <w:tcPr>
        <w:shd w:val="clear" w:color="f79646" w:themeColor="accent6"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Сітка таблиці 6 (кольорова)1"/>
    <w:basedOn w:val="754"/>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Grid Table 6 Colorful - Accent 1"/>
    <w:basedOn w:val="754"/>
    <w:uiPriority w:val="99"/>
    <w:pPr>
      <w:pBdr/>
      <w:spacing w:after="0" w:line="240" w:lineRule="auto"/>
      <w:ind/>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Grid Table 6 Colorful - Accent 2"/>
    <w:basedOn w:val="754"/>
    <w:uiPriority w:val="99"/>
    <w:pPr>
      <w:pBdr/>
      <w:spacing w:after="0" w:line="240" w:lineRule="auto"/>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Grid Table 6 Colorful - Accent 3"/>
    <w:basedOn w:val="754"/>
    <w:uiPriority w:val="99"/>
    <w:pPr>
      <w:pBdr/>
      <w:spacing w:after="0" w:line="240" w:lineRule="auto"/>
      <w:ind/>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Grid Table 6 Colorful - Accent 4"/>
    <w:basedOn w:val="754"/>
    <w:uiPriority w:val="99"/>
    <w:pPr>
      <w:pBdr/>
      <w:spacing w:after="0" w:line="240" w:lineRule="auto"/>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Grid Table 6 Colorful - Accent 5"/>
    <w:basedOn w:val="754"/>
    <w:uiPriority w:val="99"/>
    <w:pPr>
      <w:pBdr/>
      <w:spacing w:after="0" w:line="240" w:lineRule="auto"/>
      <w:ind/>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Grid Table 6 Colorful - Accent 6"/>
    <w:basedOn w:val="754"/>
    <w:uiPriority w:val="99"/>
    <w:pPr>
      <w:pBdr/>
      <w:spacing w:after="0" w:line="240" w:lineRule="auto"/>
      <w:ind/>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9" w:themeColor="accent5"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Сітка таблиці 7 (кольорова)1"/>
    <w:basedOn w:val="754"/>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Grid Table 7 Colorful - Accent 1"/>
    <w:basedOn w:val="754"/>
    <w:uiPriority w:val="99"/>
    <w:pPr>
      <w:pBdr/>
      <w:spacing w:after="0" w:line="240" w:lineRule="auto"/>
      <w:ind/>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Grid Table 7 Colorful - Accent 2"/>
    <w:basedOn w:val="754"/>
    <w:uiPriority w:val="99"/>
    <w:pPr>
      <w:pBdr/>
      <w:spacing w:after="0" w:line="240" w:lineRule="auto"/>
      <w:ind/>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Grid Table 7 Colorful - Accent 3"/>
    <w:basedOn w:val="754"/>
    <w:uiPriority w:val="99"/>
    <w:pPr>
      <w:pBdr/>
      <w:spacing w:after="0" w:line="240" w:lineRule="auto"/>
      <w:ind/>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Grid Table 7 Colorful - Accent 4"/>
    <w:basedOn w:val="754"/>
    <w:uiPriority w:val="99"/>
    <w:pPr>
      <w:pBdr/>
      <w:spacing w:after="0" w:line="240" w:lineRule="auto"/>
      <w:ind/>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Grid Table 7 Colorful - Accent 5"/>
    <w:basedOn w:val="754"/>
    <w:uiPriority w:val="99"/>
    <w:pPr>
      <w:pBdr/>
      <w:spacing w:after="0" w:line="240" w:lineRule="auto"/>
      <w:ind/>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Grid Table 7 Colorful - Accent 6"/>
    <w:basedOn w:val="754"/>
    <w:uiPriority w:val="99"/>
    <w:pPr>
      <w:pBdr/>
      <w:spacing w:after="0" w:line="240" w:lineRule="auto"/>
      <w:ind/>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15407" w:themeColor="accent6"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Список таблиці 1 (світлий)1"/>
    <w:basedOn w:val="75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List Table 1 Light - Accent 1"/>
    <w:basedOn w:val="75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List Table 1 Light - Accent 2"/>
    <w:basedOn w:val="75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List Table 1 Light - Accent 3"/>
    <w:basedOn w:val="75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st Table 1 Light - Accent 4"/>
    <w:basedOn w:val="75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List Table 1 Light - Accent 5"/>
    <w:basedOn w:val="75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List Table 1 Light - Accent 6"/>
    <w:basedOn w:val="754"/>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Список таблиці 21"/>
    <w:basedOn w:val="754"/>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List Table 2 - Accent 1"/>
    <w:basedOn w:val="754"/>
    <w:uiPriority w:val="99"/>
    <w:pPr>
      <w:pBdr/>
      <w:spacing w:after="0" w:line="240" w:lineRule="auto"/>
      <w:ind/>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List Table 2 - Accent 2"/>
    <w:basedOn w:val="754"/>
    <w:uiPriority w:val="99"/>
    <w:pPr>
      <w:pBdr/>
      <w:spacing w:after="0" w:line="240" w:lineRule="auto"/>
      <w:ind/>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st Table 2 - Accent 3"/>
    <w:basedOn w:val="754"/>
    <w:link w:val="970"/>
    <w:uiPriority w:val="99"/>
    <w:pPr>
      <w:pBdr/>
      <w:spacing w:after="0" w:line="240" w:lineRule="auto"/>
      <w:ind/>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st Table 2 - Accent 4"/>
    <w:basedOn w:val="754"/>
    <w:uiPriority w:val="99"/>
    <w:pPr>
      <w:pBdr/>
      <w:spacing w:after="0" w:line="240" w:lineRule="auto"/>
      <w:ind/>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st Table 2 - Accent 5"/>
    <w:basedOn w:val="754"/>
    <w:uiPriority w:val="99"/>
    <w:pPr>
      <w:pBdr/>
      <w:spacing w:after="0" w:line="240" w:lineRule="auto"/>
      <w:ind/>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List Table 2 - Accent 6"/>
    <w:basedOn w:val="754"/>
    <w:uiPriority w:val="99"/>
    <w:pPr>
      <w:pBdr/>
      <w:spacing w:after="0" w:line="240" w:lineRule="auto"/>
      <w:ind/>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Список таблиці 31"/>
    <w:basedOn w:val="754"/>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List Table 3 - Accent 1"/>
    <w:basedOn w:val="754"/>
    <w:uiPriority w:val="99"/>
    <w:pPr>
      <w:pBdr/>
      <w:spacing w:after="0" w:line="240" w:lineRule="auto"/>
      <w:ind/>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List Table 3 - Accent 2"/>
    <w:basedOn w:val="754"/>
    <w:uiPriority w:val="99"/>
    <w:pPr>
      <w:pBdr/>
      <w:spacing w:after="0" w:line="240" w:lineRule="auto"/>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List Table 3 - Accent 3"/>
    <w:basedOn w:val="754"/>
    <w:uiPriority w:val="99"/>
    <w:pPr>
      <w:pBdr/>
      <w:spacing w:after="0" w:line="240" w:lineRule="auto"/>
      <w:ind/>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List Table 3 - Accent 4"/>
    <w:basedOn w:val="754"/>
    <w:uiPriority w:val="99"/>
    <w:pPr>
      <w:pBdr/>
      <w:spacing w:after="0" w:line="240" w:lineRule="auto"/>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List Table 3 - Accent 5"/>
    <w:basedOn w:val="754"/>
    <w:uiPriority w:val="99"/>
    <w:pPr>
      <w:pBdr/>
      <w:spacing w:after="0" w:line="240" w:lineRule="auto"/>
      <w:ind/>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92cc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List Table 3 - Accent 6"/>
    <w:basedOn w:val="754"/>
    <w:uiPriority w:val="99"/>
    <w:pPr>
      <w:pBdr/>
      <w:spacing w:after="0" w:line="240" w:lineRule="auto"/>
      <w:ind/>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fac0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Список таблиці 41"/>
    <w:basedOn w:val="754"/>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List Table 4 - Accent 1"/>
    <w:basedOn w:val="754"/>
    <w:uiPriority w:val="99"/>
    <w:pPr>
      <w:pBdr/>
      <w:spacing w:after="0" w:line="240" w:lineRule="auto"/>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List Table 4 - Accent 2"/>
    <w:basedOn w:val="754"/>
    <w:uiPriority w:val="99"/>
    <w:pPr>
      <w:pBdr/>
      <w:spacing w:after="0" w:line="240" w:lineRule="auto"/>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List Table 4 - Accent 3"/>
    <w:basedOn w:val="754"/>
    <w:uiPriority w:val="99"/>
    <w:pPr>
      <w:pBdr/>
      <w:spacing w:after="0" w:line="240" w:lineRule="auto"/>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List Table 4 - Accent 4"/>
    <w:basedOn w:val="754"/>
    <w:uiPriority w:val="99"/>
    <w:pPr>
      <w:pBdr/>
      <w:spacing w:after="0" w:line="240" w:lineRule="auto"/>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List Table 4 - Accent 5"/>
    <w:basedOn w:val="754"/>
    <w:uiPriority w:val="99"/>
    <w:pPr>
      <w:pBdr/>
      <w:spacing w:after="0" w:line="240" w:lineRule="auto"/>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List Table 4 - Accent 6"/>
    <w:basedOn w:val="754"/>
    <w:uiPriority w:val="99"/>
    <w:pPr>
      <w:pBdr/>
      <w:spacing w:after="0" w:line="240" w:lineRule="auto"/>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Список таблиці 5 (темний)1"/>
    <w:basedOn w:val="754"/>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List Table 5 Dark - Accent 1"/>
    <w:basedOn w:val="754"/>
    <w:uiPriority w:val="99"/>
    <w:pPr>
      <w:pBdr/>
      <w:spacing w:after="0" w:line="240" w:lineRule="auto"/>
      <w:ind/>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cPr>
      <w:tcBorders/>
    </w:tcPr>
    <w:tblStylePr w:type="band1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List Table 5 Dark - Accent 2"/>
    <w:basedOn w:val="754"/>
    <w:uiPriority w:val="99"/>
    <w:pPr>
      <w:pBdr/>
      <w:spacing w:after="0" w:line="240" w:lineRule="auto"/>
      <w:ind/>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cPr>
      <w:tcBorders/>
    </w:tcPr>
    <w:tblStylePr w:type="band1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List Table 5 Dark - Accent 3"/>
    <w:basedOn w:val="754"/>
    <w:uiPriority w:val="99"/>
    <w:pPr>
      <w:pBdr/>
      <w:spacing w:after="0" w:line="240" w:lineRule="auto"/>
      <w:ind/>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cPr>
      <w:tcBorders/>
    </w:tcPr>
    <w:tblStylePr w:type="band1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List Table 5 Dark - Accent 4"/>
    <w:basedOn w:val="754"/>
    <w:uiPriority w:val="99"/>
    <w:pPr>
      <w:pBdr/>
      <w:spacing w:after="0" w:line="240" w:lineRule="auto"/>
      <w:ind/>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cPr>
      <w:tcBorders/>
    </w:tcPr>
    <w:tblStylePr w:type="band1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List Table 5 Dark - Accent 5"/>
    <w:basedOn w:val="754"/>
    <w:uiPriority w:val="99"/>
    <w:pPr>
      <w:pBdr/>
      <w:spacing w:after="0" w:line="240" w:lineRule="auto"/>
      <w:ind/>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cPr>
      <w:tcBorders/>
    </w:tcPr>
    <w:tblStylePr w:type="band1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List Table 5 Dark - Accent 6"/>
    <w:basedOn w:val="754"/>
    <w:uiPriority w:val="99"/>
    <w:pPr>
      <w:pBdr/>
      <w:spacing w:after="0" w:line="240" w:lineRule="auto"/>
      <w:ind/>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cPr>
      <w:tcBorders/>
    </w:tcPr>
    <w:tblStylePr w:type="band1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Список таблиці 6 (кольоровий)1"/>
    <w:basedOn w:val="754"/>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List Table 6 Colorful - Accent 1"/>
    <w:basedOn w:val="754"/>
    <w:uiPriority w:val="99"/>
    <w:pPr>
      <w:pBdr/>
      <w:spacing w:after="0" w:line="240" w:lineRule="auto"/>
      <w:ind/>
    </w:pPr>
    <w:tblPr>
      <w:tblStyleRowBandSize w:val="1"/>
      <w:tblStyleColBandSize w:val="1"/>
      <w:tblBorders>
        <w:top w:val="single" w:color="4f81bd" w:themeColor="accent1" w:sz="4" w:space="0"/>
        <w:bottom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List Table 6 Colorful - Accent 2"/>
    <w:basedOn w:val="754"/>
    <w:uiPriority w:val="99"/>
    <w:pPr>
      <w:pBdr/>
      <w:spacing w:after="0" w:line="240" w:lineRule="auto"/>
      <w:ind/>
    </w:pPr>
    <w:tblPr>
      <w:tblStyleRowBandSize w:val="1"/>
      <w:tblStyleColBandSize w:val="1"/>
      <w:tblBorders>
        <w:top w:val="single" w:color="d99695" w:themeColor="accent2" w:themeTint="97" w:sz="4" w:space="0"/>
        <w:bottom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List Table 6 Colorful - Accent 3"/>
    <w:basedOn w:val="754"/>
    <w:uiPriority w:val="99"/>
    <w:pPr>
      <w:pBdr/>
      <w:spacing w:after="0" w:line="240" w:lineRule="auto"/>
      <w:ind/>
    </w:pPr>
    <w:tblPr>
      <w:tblStyleRowBandSize w:val="1"/>
      <w:tblStyleColBandSize w:val="1"/>
      <w:tblBorders>
        <w:top w:val="single" w:color="c3d69b" w:themeColor="accent3" w:themeTint="98" w:sz="4" w:space="0"/>
        <w:bottom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List Table 6 Colorful - Accent 4"/>
    <w:basedOn w:val="754"/>
    <w:uiPriority w:val="99"/>
    <w:pPr>
      <w:pBdr/>
      <w:spacing w:after="0" w:line="240" w:lineRule="auto"/>
      <w:ind/>
    </w:pPr>
    <w:tblPr>
      <w:tblStyleRowBandSize w:val="1"/>
      <w:tblStyleColBandSize w:val="1"/>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List Table 6 Colorful - Accent 5"/>
    <w:basedOn w:val="754"/>
    <w:uiPriority w:val="99"/>
    <w:pPr>
      <w:pBdr/>
      <w:spacing w:after="0" w:line="240" w:lineRule="auto"/>
      <w:ind/>
    </w:pPr>
    <w:tblPr>
      <w:tblStyleRowBandSize w:val="1"/>
      <w:tblStyleColBandSize w:val="1"/>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List Table 6 Colorful - Accent 6"/>
    <w:basedOn w:val="754"/>
    <w:uiPriority w:val="99"/>
    <w:pPr>
      <w:pBdr/>
      <w:spacing w:after="0" w:line="240" w:lineRule="auto"/>
      <w:ind/>
    </w:pPr>
    <w:tblPr>
      <w:tblStyleRowBandSize w:val="1"/>
      <w:tblStyleColBandSize w:val="1"/>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Список таблиці 7 (кольоровий)1"/>
    <w:basedOn w:val="754"/>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List Table 7 Colorful - Accent 1"/>
    <w:basedOn w:val="754"/>
    <w:uiPriority w:val="99"/>
    <w:pPr>
      <w:pBdr/>
      <w:spacing w:after="0" w:line="240" w:lineRule="auto"/>
      <w:ind/>
    </w:pPr>
    <w:tblPr>
      <w:tblStyleRowBandSize w:val="1"/>
      <w:tblStyleColBandSize w:val="1"/>
      <w:tblBorders>
        <w:right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List Table 7 Colorful - Accent 2"/>
    <w:basedOn w:val="754"/>
    <w:uiPriority w:val="99"/>
    <w:pPr>
      <w:pBdr/>
      <w:spacing w:after="0" w:line="240" w:lineRule="auto"/>
      <w:ind/>
    </w:pPr>
    <w:tblPr>
      <w:tblStyleRowBandSize w:val="1"/>
      <w:tblStyleColBandSize w:val="1"/>
      <w:tblBorders>
        <w:right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List Table 7 Colorful - Accent 3"/>
    <w:basedOn w:val="754"/>
    <w:uiPriority w:val="99"/>
    <w:pPr>
      <w:pBdr/>
      <w:spacing w:after="0" w:line="240" w:lineRule="auto"/>
      <w:ind/>
    </w:pPr>
    <w:tblPr>
      <w:tblStyleRowBandSize w:val="1"/>
      <w:tblStyleColBandSize w:val="1"/>
      <w:tblBorders>
        <w:right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List Table 7 Colorful - Accent 4"/>
    <w:basedOn w:val="754"/>
    <w:uiPriority w:val="99"/>
    <w:pPr>
      <w:pBdr/>
      <w:spacing w:after="0" w:line="240" w:lineRule="auto"/>
      <w:ind/>
    </w:pPr>
    <w:tblPr>
      <w:tblStyleRowBandSize w:val="1"/>
      <w:tblStyleColBandSize w:val="1"/>
      <w:tblBorders>
        <w:right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List Table 7 Colorful - Accent 5"/>
    <w:basedOn w:val="754"/>
    <w:uiPriority w:val="99"/>
    <w:pPr>
      <w:pBdr/>
      <w:spacing w:after="0" w:line="240" w:lineRule="auto"/>
      <w:ind/>
    </w:pPr>
    <w:tblPr>
      <w:tblStyleRowBandSize w:val="1"/>
      <w:tblStyleColBandSize w:val="1"/>
      <w:tblBorders>
        <w:right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List Table 7 Colorful - Accent 6"/>
    <w:basedOn w:val="754"/>
    <w:uiPriority w:val="99"/>
    <w:pPr>
      <w:pBdr/>
      <w:spacing w:after="0" w:line="240" w:lineRule="auto"/>
      <w:ind/>
    </w:pPr>
    <w:tblPr>
      <w:tblStyleRowBandSize w:val="1"/>
      <w:tblStyleColBandSize w:val="1"/>
      <w:tblBorders>
        <w:right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Lined - Accent"/>
    <w:basedOn w:val="754"/>
    <w:uiPriority w:val="99"/>
    <w:pPr>
      <w:pBdr/>
      <w:spacing w:after="0" w:line="240" w:lineRule="auto"/>
      <w:ind/>
    </w:pPr>
    <w:rPr>
      <w:color w:val="404040"/>
      <w:sz w:val="20"/>
      <w:szCs w:val="20"/>
      <w:lang w:val="ru-RU" w:eastAsia="ru-RU"/>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Lined - Accent 1"/>
    <w:basedOn w:val="754"/>
    <w:uiPriority w:val="99"/>
    <w:pPr>
      <w:pBdr/>
      <w:spacing w:after="0" w:line="240" w:lineRule="auto"/>
      <w:ind/>
    </w:pPr>
    <w:rPr>
      <w:color w:val="404040"/>
      <w:sz w:val="20"/>
      <w:szCs w:val="20"/>
      <w:lang w:val="ru-RU" w:eastAsia="ru-RU"/>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Lined - Accent 2"/>
    <w:basedOn w:val="754"/>
    <w:uiPriority w:val="99"/>
    <w:pPr>
      <w:pBdr/>
      <w:spacing w:after="0" w:line="240" w:lineRule="auto"/>
      <w:ind/>
    </w:pPr>
    <w:rPr>
      <w:color w:val="404040"/>
      <w:sz w:val="20"/>
      <w:szCs w:val="20"/>
      <w:lang w:val="ru-RU" w:eastAsia="ru-RU"/>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Lined - Accent 3"/>
    <w:basedOn w:val="754"/>
    <w:uiPriority w:val="99"/>
    <w:pPr>
      <w:pBdr/>
      <w:spacing w:after="0" w:line="240" w:lineRule="auto"/>
      <w:ind/>
    </w:pPr>
    <w:rPr>
      <w:color w:val="404040"/>
      <w:sz w:val="20"/>
      <w:szCs w:val="20"/>
      <w:lang w:val="ru-RU" w:eastAsia="ru-RU"/>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Lined - Accent 4"/>
    <w:basedOn w:val="754"/>
    <w:uiPriority w:val="99"/>
    <w:pPr>
      <w:pBdr/>
      <w:spacing w:after="0" w:line="240" w:lineRule="auto"/>
      <w:ind/>
    </w:pPr>
    <w:rPr>
      <w:color w:val="404040"/>
      <w:sz w:val="20"/>
      <w:szCs w:val="20"/>
      <w:lang w:val="ru-RU" w:eastAsia="ru-RU"/>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Lined - Accent 5"/>
    <w:basedOn w:val="754"/>
    <w:uiPriority w:val="99"/>
    <w:pPr>
      <w:pBdr/>
      <w:spacing w:after="0" w:line="240" w:lineRule="auto"/>
      <w:ind/>
    </w:pPr>
    <w:rPr>
      <w:color w:val="404040"/>
      <w:sz w:val="20"/>
      <w:szCs w:val="20"/>
      <w:lang w:val="ru-RU" w:eastAsia="ru-RU"/>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Lined - Accent 6"/>
    <w:basedOn w:val="754"/>
    <w:uiPriority w:val="99"/>
    <w:pPr>
      <w:pBdr/>
      <w:spacing w:after="0" w:line="240" w:lineRule="auto"/>
      <w:ind/>
    </w:pPr>
    <w:rPr>
      <w:color w:val="404040"/>
      <w:sz w:val="20"/>
      <w:szCs w:val="20"/>
      <w:lang w:val="ru-RU" w:eastAsia="ru-RU"/>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Bordered &amp; Lined - Accent"/>
    <w:basedOn w:val="754"/>
    <w:uiPriority w:val="99"/>
    <w:pPr>
      <w:pBdr/>
      <w:spacing w:after="0" w:line="240" w:lineRule="auto"/>
      <w:ind/>
    </w:pPr>
    <w:rPr>
      <w:color w:val="404040"/>
      <w:sz w:val="20"/>
      <w:szCs w:val="20"/>
      <w:lang w:val="ru-RU"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Bordered &amp; Lined - Accent 1"/>
    <w:basedOn w:val="754"/>
    <w:uiPriority w:val="99"/>
    <w:pPr>
      <w:pBdr/>
      <w:spacing w:after="0" w:line="240" w:lineRule="auto"/>
      <w:ind/>
    </w:pPr>
    <w:rPr>
      <w:color w:val="404040"/>
      <w:sz w:val="20"/>
      <w:szCs w:val="20"/>
      <w:lang w:val="ru-RU" w:eastAsia="ru-RU"/>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Bordered &amp; Lined - Accent 2"/>
    <w:basedOn w:val="754"/>
    <w:uiPriority w:val="99"/>
    <w:pPr>
      <w:pBdr/>
      <w:spacing w:after="0" w:line="240" w:lineRule="auto"/>
      <w:ind/>
    </w:pPr>
    <w:rPr>
      <w:color w:val="404040"/>
      <w:sz w:val="20"/>
      <w:szCs w:val="20"/>
      <w:lang w:val="ru-RU" w:eastAsia="ru-RU"/>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Bordered &amp; Lined - Accent 3"/>
    <w:basedOn w:val="754"/>
    <w:uiPriority w:val="99"/>
    <w:pPr>
      <w:pBdr/>
      <w:spacing w:after="0" w:line="240" w:lineRule="auto"/>
      <w:ind/>
    </w:pPr>
    <w:rPr>
      <w:color w:val="404040"/>
      <w:sz w:val="20"/>
      <w:szCs w:val="20"/>
      <w:lang w:val="ru-RU" w:eastAsia="ru-RU"/>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customStyle="1">
    <w:name w:val="Bordered &amp; Lined - Accent 4"/>
    <w:basedOn w:val="754"/>
    <w:uiPriority w:val="99"/>
    <w:pPr>
      <w:pBdr/>
      <w:spacing w:after="0" w:line="240" w:lineRule="auto"/>
      <w:ind/>
    </w:pPr>
    <w:rPr>
      <w:color w:val="404040"/>
      <w:sz w:val="20"/>
      <w:szCs w:val="20"/>
      <w:lang w:val="ru-RU" w:eastAsia="ru-RU"/>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customStyle="1">
    <w:name w:val="Bordered &amp; Lined - Accent 5"/>
    <w:basedOn w:val="754"/>
    <w:uiPriority w:val="99"/>
    <w:pPr>
      <w:pBdr/>
      <w:spacing w:after="0" w:line="240" w:lineRule="auto"/>
      <w:ind/>
    </w:pPr>
    <w:rPr>
      <w:color w:val="404040"/>
      <w:sz w:val="20"/>
      <w:szCs w:val="20"/>
      <w:lang w:val="ru-RU" w:eastAsia="ru-RU"/>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customStyle="1">
    <w:name w:val="Bordered &amp; Lined - Accent 6"/>
    <w:basedOn w:val="754"/>
    <w:uiPriority w:val="99"/>
    <w:pPr>
      <w:pBdr/>
      <w:spacing w:after="0" w:line="240" w:lineRule="auto"/>
      <w:ind/>
    </w:pPr>
    <w:rPr>
      <w:color w:val="404040"/>
      <w:sz w:val="20"/>
      <w:szCs w:val="20"/>
      <w:lang w:val="ru-RU" w:eastAsia="ru-RU"/>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customStyle="1">
    <w:name w:val="Bordered"/>
    <w:basedOn w:val="754"/>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customStyle="1">
    <w:name w:val="Bordered - Accent 1"/>
    <w:basedOn w:val="754"/>
    <w:uiPriority w:val="99"/>
    <w:pPr>
      <w:pBdr/>
      <w:spacing w:after="0" w:line="240" w:lineRule="auto"/>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customStyle="1">
    <w:name w:val="Bordered - Accent 2"/>
    <w:basedOn w:val="754"/>
    <w:uiPriority w:val="99"/>
    <w:pPr>
      <w:pBdr/>
      <w:spacing w:after="0" w:line="240" w:lineRule="auto"/>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customStyle="1">
    <w:name w:val="Bordered - Accent 3"/>
    <w:basedOn w:val="754"/>
    <w:uiPriority w:val="99"/>
    <w:pPr>
      <w:pBdr/>
      <w:spacing w:after="0" w:line="240" w:lineRule="auto"/>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customStyle="1">
    <w:name w:val="Bordered - Accent 4"/>
    <w:basedOn w:val="754"/>
    <w:uiPriority w:val="99"/>
    <w:pPr>
      <w:pBdr/>
      <w:spacing w:after="0" w:line="240" w:lineRule="auto"/>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customStyle="1">
    <w:name w:val="Bordered - Accent 5"/>
    <w:basedOn w:val="754"/>
    <w:uiPriority w:val="99"/>
    <w:pPr>
      <w:pBdr/>
      <w:spacing w:after="0" w:line="240" w:lineRule="auto"/>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customStyle="1">
    <w:name w:val="Bordered - Accent 6"/>
    <w:basedOn w:val="754"/>
    <w:uiPriority w:val="99"/>
    <w:pPr>
      <w:pBdr/>
      <w:spacing w:after="0" w:line="240" w:lineRule="auto"/>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46">
    <w:name w:val="Hyperlink"/>
    <w:uiPriority w:val="99"/>
    <w:unhideWhenUsed/>
    <w:pPr>
      <w:pBdr/>
      <w:spacing/>
      <w:ind/>
    </w:pPr>
    <w:rPr>
      <w:color w:val="0000ff" w:themeColor="hyperlink"/>
      <w:u w:val="single"/>
    </w:rPr>
  </w:style>
  <w:style w:type="paragraph" w:styleId="947">
    <w:name w:val="footnote text"/>
    <w:basedOn w:val="743"/>
    <w:link w:val="948"/>
    <w:uiPriority w:val="99"/>
    <w:semiHidden/>
    <w:unhideWhenUsed/>
    <w:pPr>
      <w:pBdr/>
      <w:spacing w:after="40" w:line="240" w:lineRule="auto"/>
      <w:ind/>
    </w:pPr>
    <w:rPr>
      <w:sz w:val="18"/>
    </w:rPr>
  </w:style>
  <w:style w:type="character" w:styleId="948" w:customStyle="1">
    <w:name w:val="Текст виноски Знак"/>
    <w:link w:val="947"/>
    <w:uiPriority w:val="99"/>
    <w:pPr>
      <w:pBdr/>
      <w:spacing/>
      <w:ind/>
    </w:pPr>
    <w:rPr>
      <w:sz w:val="18"/>
    </w:rPr>
  </w:style>
  <w:style w:type="character" w:styleId="949">
    <w:name w:val="footnote reference"/>
    <w:basedOn w:val="753"/>
    <w:uiPriority w:val="99"/>
    <w:unhideWhenUsed/>
    <w:pPr>
      <w:pBdr/>
      <w:spacing/>
      <w:ind/>
    </w:pPr>
    <w:rPr>
      <w:vertAlign w:val="superscript"/>
    </w:rPr>
  </w:style>
  <w:style w:type="paragraph" w:styleId="950">
    <w:name w:val="endnote text"/>
    <w:basedOn w:val="743"/>
    <w:link w:val="951"/>
    <w:uiPriority w:val="99"/>
    <w:semiHidden/>
    <w:unhideWhenUsed/>
    <w:pPr>
      <w:pBdr/>
      <w:spacing w:after="0" w:line="240" w:lineRule="auto"/>
      <w:ind/>
    </w:pPr>
    <w:rPr>
      <w:sz w:val="20"/>
    </w:rPr>
  </w:style>
  <w:style w:type="character" w:styleId="951" w:customStyle="1">
    <w:name w:val="Текст кінцевої виноски Знак"/>
    <w:link w:val="950"/>
    <w:uiPriority w:val="99"/>
    <w:pPr>
      <w:pBdr/>
      <w:spacing/>
      <w:ind/>
    </w:pPr>
    <w:rPr>
      <w:sz w:val="20"/>
    </w:rPr>
  </w:style>
  <w:style w:type="character" w:styleId="952">
    <w:name w:val="endnote reference"/>
    <w:basedOn w:val="753"/>
    <w:uiPriority w:val="99"/>
    <w:semiHidden/>
    <w:unhideWhenUsed/>
    <w:pPr>
      <w:pBdr/>
      <w:spacing/>
      <w:ind/>
    </w:pPr>
    <w:rPr>
      <w:vertAlign w:val="superscript"/>
    </w:rPr>
  </w:style>
  <w:style w:type="paragraph" w:styleId="953">
    <w:name w:val="toc 1"/>
    <w:basedOn w:val="743"/>
    <w:next w:val="743"/>
    <w:uiPriority w:val="39"/>
    <w:unhideWhenUsed/>
    <w:pPr>
      <w:pBdr/>
      <w:spacing w:after="57"/>
      <w:ind/>
    </w:pPr>
  </w:style>
  <w:style w:type="paragraph" w:styleId="954">
    <w:name w:val="toc 2"/>
    <w:basedOn w:val="743"/>
    <w:next w:val="743"/>
    <w:uiPriority w:val="39"/>
    <w:unhideWhenUsed/>
    <w:pPr>
      <w:pBdr/>
      <w:spacing w:after="57"/>
      <w:ind w:left="283"/>
    </w:pPr>
  </w:style>
  <w:style w:type="paragraph" w:styleId="955">
    <w:name w:val="toc 3"/>
    <w:basedOn w:val="743"/>
    <w:next w:val="743"/>
    <w:uiPriority w:val="39"/>
    <w:unhideWhenUsed/>
    <w:pPr>
      <w:pBdr/>
      <w:spacing w:after="57"/>
      <w:ind w:left="567"/>
    </w:pPr>
  </w:style>
  <w:style w:type="paragraph" w:styleId="956">
    <w:name w:val="toc 4"/>
    <w:basedOn w:val="743"/>
    <w:next w:val="743"/>
    <w:uiPriority w:val="39"/>
    <w:unhideWhenUsed/>
    <w:pPr>
      <w:pBdr/>
      <w:spacing w:after="57"/>
      <w:ind w:left="850"/>
    </w:pPr>
  </w:style>
  <w:style w:type="paragraph" w:styleId="957">
    <w:name w:val="toc 5"/>
    <w:basedOn w:val="743"/>
    <w:next w:val="743"/>
    <w:uiPriority w:val="39"/>
    <w:unhideWhenUsed/>
    <w:pPr>
      <w:pBdr/>
      <w:spacing w:after="57"/>
      <w:ind w:left="1134"/>
    </w:pPr>
  </w:style>
  <w:style w:type="paragraph" w:styleId="958">
    <w:name w:val="toc 6"/>
    <w:basedOn w:val="743"/>
    <w:next w:val="743"/>
    <w:uiPriority w:val="39"/>
    <w:unhideWhenUsed/>
    <w:pPr>
      <w:pBdr/>
      <w:spacing w:after="57"/>
      <w:ind w:left="1417"/>
    </w:pPr>
  </w:style>
  <w:style w:type="paragraph" w:styleId="959">
    <w:name w:val="toc 7"/>
    <w:basedOn w:val="743"/>
    <w:next w:val="743"/>
    <w:uiPriority w:val="39"/>
    <w:unhideWhenUsed/>
    <w:pPr>
      <w:pBdr/>
      <w:spacing w:after="57"/>
      <w:ind w:left="1701"/>
    </w:pPr>
  </w:style>
  <w:style w:type="paragraph" w:styleId="960">
    <w:name w:val="toc 8"/>
    <w:basedOn w:val="743"/>
    <w:next w:val="743"/>
    <w:uiPriority w:val="39"/>
    <w:unhideWhenUsed/>
    <w:pPr>
      <w:pBdr/>
      <w:spacing w:after="57"/>
      <w:ind w:left="1984"/>
    </w:pPr>
  </w:style>
  <w:style w:type="paragraph" w:styleId="961">
    <w:name w:val="toc 9"/>
    <w:basedOn w:val="743"/>
    <w:next w:val="743"/>
    <w:uiPriority w:val="39"/>
    <w:unhideWhenUsed/>
    <w:pPr>
      <w:pBdr/>
      <w:spacing w:after="57"/>
      <w:ind w:left="2268"/>
    </w:pPr>
  </w:style>
  <w:style w:type="paragraph" w:styleId="962">
    <w:name w:val="TOC Heading"/>
    <w:uiPriority w:val="39"/>
    <w:unhideWhenUsed/>
    <w:pPr>
      <w:pBdr/>
      <w:spacing/>
      <w:ind/>
    </w:pPr>
  </w:style>
  <w:style w:type="paragraph" w:styleId="963">
    <w:name w:val="table of figures"/>
    <w:basedOn w:val="743"/>
    <w:next w:val="743"/>
    <w:uiPriority w:val="99"/>
    <w:unhideWhenUsed/>
    <w:pPr>
      <w:pBdr/>
      <w:spacing w:after="0"/>
      <w:ind/>
    </w:pPr>
  </w:style>
  <w:style w:type="table" w:styleId="964">
    <w:name w:val="Table Grid"/>
    <w:basedOn w:val="754"/>
    <w:uiPriority w:val="5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65">
    <w:name w:val="Header"/>
    <w:basedOn w:val="743"/>
    <w:link w:val="966"/>
    <w:uiPriority w:val="99"/>
    <w:unhideWhenUsed/>
    <w:pPr>
      <w:pBdr/>
      <w:tabs>
        <w:tab w:val="center" w:leader="none" w:pos="4819"/>
        <w:tab w:val="right" w:leader="none" w:pos="9639"/>
      </w:tabs>
      <w:spacing w:after="0" w:line="240" w:lineRule="auto"/>
      <w:ind/>
    </w:pPr>
  </w:style>
  <w:style w:type="character" w:styleId="966" w:customStyle="1">
    <w:name w:val="Верхній колонтитул Знак"/>
    <w:basedOn w:val="753"/>
    <w:link w:val="965"/>
    <w:uiPriority w:val="99"/>
    <w:pPr>
      <w:pBdr/>
      <w:spacing/>
      <w:ind/>
    </w:pPr>
  </w:style>
  <w:style w:type="paragraph" w:styleId="967">
    <w:name w:val="Footer"/>
    <w:basedOn w:val="743"/>
    <w:link w:val="968"/>
    <w:uiPriority w:val="99"/>
    <w:unhideWhenUsed/>
    <w:pPr>
      <w:pBdr/>
      <w:tabs>
        <w:tab w:val="center" w:leader="none" w:pos="4819"/>
        <w:tab w:val="right" w:leader="none" w:pos="9639"/>
      </w:tabs>
      <w:spacing w:after="0" w:line="240" w:lineRule="auto"/>
      <w:ind/>
    </w:pPr>
  </w:style>
  <w:style w:type="character" w:styleId="968" w:customStyle="1">
    <w:name w:val="Нижній колонтитул Знак"/>
    <w:basedOn w:val="753"/>
    <w:link w:val="967"/>
    <w:uiPriority w:val="99"/>
    <w:pPr>
      <w:pBdr/>
      <w:spacing/>
      <w:ind/>
    </w:pPr>
  </w:style>
  <w:style w:type="paragraph" w:styleId="969">
    <w:name w:val="List Paragraph"/>
    <w:basedOn w:val="743"/>
    <w:uiPriority w:val="34"/>
    <w:qFormat/>
    <w:pPr>
      <w:pBdr/>
      <w:spacing/>
      <w:ind w:left="720"/>
      <w:contextualSpacing w:val="true"/>
    </w:pPr>
  </w:style>
  <w:style w:type="paragraph" w:styleId="970" w:customStyle="1">
    <w:name w:val="Основной текст1"/>
    <w:link w:val="886"/>
    <w:pPr>
      <w:pBdr>
        <w:top w:val="none" w:color="000000" w:sz="4" w:space="0"/>
        <w:left w:val="none" w:color="000000" w:sz="4" w:space="0"/>
        <w:bottom w:val="none" w:color="000000" w:sz="4" w:space="0"/>
        <w:right w:val="none" w:color="000000" w:sz="4" w:space="0"/>
        <w:between w:val="none" w:color="000000" w:sz="4" w:space="0"/>
      </w:pBdr>
      <w:spacing w:after="120" w:line="240" w:lineRule="auto"/>
      <w:ind/>
    </w:pPr>
    <w:rPr>
      <w:rFonts w:ascii="Times New Roman" w:hAnsi="Times New Roman" w:eastAsia="Times New Roman" w:cs="Times New Roman"/>
      <w:sz w:val="24"/>
      <w:szCs w:val="24"/>
    </w:rPr>
  </w:style>
  <w:style w:type="paragraph" w:styleId="971">
    <w:name w:val="Normal (Web)"/>
    <w:basedOn w:val="743"/>
    <w:uiPriority w:val="99"/>
    <w:semiHidden/>
    <w:unhideWhenUsed/>
    <w:pPr>
      <w:pBdr/>
      <w:spacing w:after="100" w:afterAutospacing="1" w:before="100" w:beforeAutospacing="1" w:line="240" w:lineRule="auto"/>
      <w:ind/>
    </w:pPr>
    <w:rPr>
      <w:rFonts w:ascii="Times New Roman" w:hAnsi="Times New Roman" w:eastAsia="Times New Roman" w:cs="Times New Roman"/>
      <w:sz w:val="24"/>
      <w:szCs w:val="24"/>
      <w:lang w:eastAsia="uk-U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ONLYOFFICE/8.1.3.4</Application>
  <Company>HP</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Вікторія Ільченко</dc:creator>
  <cp:lastModifiedBy>СТАЛЬНИЧЕНКО Юрій Валерійович</cp:lastModifiedBy>
  <cp:revision>55</cp:revision>
  <dcterms:created xsi:type="dcterms:W3CDTF">2024-11-29T10:12:00Z</dcterms:created>
  <dcterms:modified xsi:type="dcterms:W3CDTF">2026-06-20T07:55:20Z</dcterms:modified>
</cp:coreProperties>
</file>