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0"/>
        <w:jc w:val="center"/>
        <w:rPr>
          <w:b/>
          <w:bCs/>
          <w:sz w:val="16"/>
          <w:szCs w:val="12"/>
        </w:rPr>
      </w:pPr>
      <w:r>
        <w:rPr>
          <w:b/>
          <w:sz w:val="16"/>
          <w:szCs w:val="12"/>
          <w:highlight w:val="none"/>
        </w:rPr>
      </w:r>
      <w:r>
        <w:rPr>
          <w:b/>
          <w:bCs/>
        </w:rPr>
      </w:r>
      <w:r>
        <w:rPr>
          <w:b/>
          <w:bCs/>
          <w:sz w:val="16"/>
          <w:szCs w:val="12"/>
        </w:rPr>
      </w:r>
    </w:p>
    <w:p>
      <w:pPr>
        <w:pBdr/>
        <w:spacing/>
        <w:ind w:firstLine="0"/>
        <w:jc w:val="center"/>
        <w:rPr>
          <w:b/>
          <w:bCs/>
          <w:highlight w:val="none"/>
        </w:rPr>
      </w:pPr>
      <w:r>
        <w:rPr>
          <w:b/>
        </w:rPr>
        <w:t xml:space="preserve">МЕНСЬКА МІСЬКА РАДА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spacing/>
        <w:ind w:firstLine="0"/>
        <w:jc w:val="center"/>
        <w:rPr/>
      </w:pPr>
      <w:r>
        <w:rPr>
          <w:b/>
          <w:sz w:val="16"/>
        </w:rPr>
        <w:t xml:space="preserve"> </w:t>
      </w:r>
      <w:r/>
    </w:p>
    <w:p>
      <w:pPr>
        <w:pBdr/>
        <w:spacing/>
        <w:ind w:firstLine="0"/>
        <w:jc w:val="center"/>
        <w:rPr/>
      </w:pPr>
      <w:r>
        <w:rPr>
          <w:b/>
        </w:rPr>
        <w:t xml:space="preserve">(сімдесят четверта</w:t>
      </w:r>
      <w:r>
        <w:rPr>
          <w:b/>
        </w:rPr>
        <w:t xml:space="preserve"> сесія восьмого скликання)</w:t>
      </w:r>
      <w:r/>
    </w:p>
    <w:p>
      <w:pPr>
        <w:pBdr/>
        <w:spacing/>
        <w:ind w:firstLine="0"/>
        <w:jc w:val="center"/>
        <w:rPr/>
      </w:pPr>
      <w:r>
        <w:rPr>
          <w:b/>
        </w:rPr>
        <w:t xml:space="preserve">РІШЕННЯ</w:t>
      </w:r>
      <w:r/>
    </w:p>
    <w:p>
      <w:pPr>
        <w:pBdr/>
        <w:spacing/>
        <w:ind w:hanging="15" w:left="15"/>
        <w:jc w:val="center"/>
        <w:rPr/>
      </w:pPr>
      <w:r>
        <w:rPr>
          <w:b/>
          <w:spacing w:val="60"/>
          <w:sz w:val="16"/>
        </w:rPr>
        <w:t xml:space="preserve"> </w:t>
      </w:r>
      <w:r/>
    </w:p>
    <w:p>
      <w:pPr>
        <w:pBdr/>
        <w:tabs>
          <w:tab w:val="clear" w:leader="none" w:pos="709"/>
          <w:tab w:val="left" w:leader="none" w:pos="4252"/>
          <w:tab w:val="left" w:leader="none" w:pos="7370"/>
        </w:tabs>
        <w:spacing/>
        <w:ind w:firstLine="0"/>
        <w:rPr/>
      </w:pPr>
      <w:r>
        <w:t xml:space="preserve">19 </w:t>
      </w:r>
      <w:r>
        <w:t xml:space="preserve">червня</w:t>
      </w:r>
      <w:r>
        <w:t xml:space="preserve"> 2026 року</w:t>
      </w:r>
      <w:r>
        <w:tab/>
        <w:t xml:space="preserve">м. </w:t>
      </w:r>
      <w:r>
        <w:t xml:space="preserve">Мена</w:t>
      </w:r>
      <w:r>
        <w:tab/>
        <w:t xml:space="preserve">№ 363</w:t>
      </w:r>
      <w:r/>
    </w:p>
    <w:p>
      <w:pPr>
        <w:pBdr/>
        <w:tabs>
          <w:tab w:val="clear" w:leader="none" w:pos="709"/>
          <w:tab w:val="left" w:leader="none" w:pos="4535"/>
          <w:tab w:val="left" w:leader="none" w:pos="7370"/>
        </w:tabs>
        <w:spacing/>
        <w:ind w:firstLine="0"/>
        <w:rPr/>
      </w:pPr>
      <w:r>
        <w:t xml:space="preserve"> </w:t>
      </w:r>
      <w:r/>
    </w:p>
    <w:p>
      <w:pPr>
        <w:pBdr/>
        <w:spacing/>
        <w:ind w:firstLine="0"/>
        <w:rPr/>
      </w:pPr>
      <w:r>
        <w:rPr>
          <w:b/>
        </w:rPr>
        <w:t xml:space="preserve">Про прийняття у комунальну власність Менської міської територіальної громади майна та передачу майна КУ «Менський територіальний центр НСП» </w:t>
      </w:r>
      <w:r/>
    </w:p>
    <w:p>
      <w:pPr>
        <w:pBdr/>
        <w:spacing/>
        <w:ind w:right="5811" w:firstLine="0"/>
        <w:rPr/>
      </w:pPr>
      <w:r>
        <w:rPr>
          <w:b/>
        </w:rPr>
        <w:t xml:space="preserve"> </w:t>
      </w:r>
      <w:r/>
    </w:p>
    <w:p>
      <w:pPr>
        <w:pBdr/>
        <w:spacing/>
        <w:ind/>
        <w:rPr/>
      </w:pPr>
      <w:r>
        <w:t xml:space="preserve">Відпов</w:t>
      </w:r>
      <w:r>
        <w:t xml:space="preserve">ідно до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 від 09 січня 2025 року № 4196-ІХ, Порядку передачі державного та комунального майна на праві </w:t>
      </w:r>
      <w:r>
        <w:t xml:space="preserve">узуфрукта</w:t>
      </w:r>
      <w:r>
        <w:t xml:space="preserve"> державного або комунального майна, здійснення контролю за використанням такого майна, затвердженого постановою Кабінету Міні</w:t>
      </w:r>
      <w:r>
        <w:t xml:space="preserve">стрів України від 08 вересня 2025 року № 1103, Порядку прийняття майна до комунальної власності Менської міської територіальної громади, затвердженого рішенням 30 сесії Менської міської ради 8 скликання від 28 лютого 2023 року № 79 (зі змінами), керуючись </w:t>
      </w:r>
      <w:r>
        <w:t xml:space="preserve">ст.ст</w:t>
      </w:r>
      <w:r>
        <w:t xml:space="preserve">. 60, 60-1, 26 Закону України «Про місцеве самоврядування в Україні», Менська міська рада</w:t>
      </w:r>
      <w:r/>
    </w:p>
    <w:p>
      <w:pPr>
        <w:pBdr/>
        <w:spacing/>
        <w:ind w:firstLine="0"/>
        <w:rPr/>
      </w:pPr>
      <w:r>
        <w:t xml:space="preserve">ВИРІШИЛА:</w:t>
      </w:r>
      <w:r/>
    </w:p>
    <w:p>
      <w:pPr>
        <w:pBdr/>
        <w:tabs>
          <w:tab w:val="left" w:leader="none" w:pos="567"/>
          <w:tab w:val="clear" w:leader="none" w:pos="709"/>
        </w:tabs>
        <w:spacing/>
        <w:ind/>
        <w:rPr/>
      </w:pPr>
      <w:r>
        <w:t xml:space="preserve">1. Прийняти в комунальну власність Менської міської територіальної громади </w:t>
      </w:r>
      <w:r>
        <w:t xml:space="preserve">майно, яке було закуплене за грошову пожертву від Благодійної організації «Українська освітня платформа» згідно договору про надання благодійної допомоги (пожертви) № КІА-Е 1</w:t>
      </w:r>
      <w:r>
        <w:t xml:space="preserve">7/2026 в рамках конкурсу грантів КІА 3.0 БО «Українська освітня платформа»</w:t>
      </w:r>
      <w:r>
        <w:t xml:space="preserve"> </w:t>
      </w:r>
      <w:r>
        <w:t xml:space="preserve">для модернізації соціальної послуги швачки </w:t>
      </w:r>
      <w:r>
        <w:t xml:space="preserve">КУ «Менський територіальний центр НСП»  та включити майно до переліку майна комунальної власності Менської</w:t>
      </w:r>
      <w:r>
        <w:t xml:space="preserve"> міської територіальної громади (перелік майна додається)</w:t>
      </w:r>
      <w:r/>
    </w:p>
    <w:p>
      <w:pPr>
        <w:pBdr/>
        <w:spacing w:line="235" w:lineRule="atLeast"/>
        <w:ind/>
        <w:rPr/>
      </w:pPr>
      <w:r>
        <w:t xml:space="preserve">2. Передати майно згідно додатку Комунальній установі «Менський територіальний центр надання соціальних послуг» Менської міської ради ЄДРПОУ </w:t>
      </w:r>
      <w:r>
        <w:rPr>
          <w:color w:val="212529"/>
        </w:rPr>
        <w:t xml:space="preserve">41878125</w:t>
      </w:r>
      <w:r>
        <w:t xml:space="preserve"> (далі – </w:t>
      </w:r>
      <w:r>
        <w:t xml:space="preserve">Узуфруктарій</w:t>
      </w:r>
      <w:r>
        <w:t xml:space="preserve">) на праві </w:t>
      </w:r>
      <w:r>
        <w:t xml:space="preserve">узуфрукту</w:t>
      </w:r>
      <w:r>
        <w:t xml:space="preserve"> комунального майна.</w:t>
      </w:r>
      <w:r/>
    </w:p>
    <w:p>
      <w:pPr>
        <w:pBdr/>
        <w:tabs>
          <w:tab w:val="left" w:leader="none" w:pos="567"/>
          <w:tab w:val="clear" w:leader="none" w:pos="709"/>
        </w:tabs>
        <w:spacing/>
        <w:ind/>
        <w:rPr/>
      </w:pPr>
      <w:r>
        <w:t xml:space="preserve">3. Встановити </w:t>
      </w:r>
      <w:r>
        <w:t xml:space="preserve">узуфрукт</w:t>
      </w:r>
      <w:r>
        <w:t xml:space="preserve"> комунального майна на майно громади, зазначене в додатку до рішення, безстроково.</w:t>
      </w:r>
      <w:r/>
    </w:p>
    <w:p>
      <w:pPr>
        <w:pBdr/>
        <w:tabs>
          <w:tab w:val="left" w:leader="none" w:pos="567"/>
          <w:tab w:val="clear" w:leader="none" w:pos="709"/>
        </w:tabs>
        <w:spacing/>
        <w:ind/>
        <w:rPr/>
      </w:pPr>
      <w:r>
        <w:t xml:space="preserve">4. </w:t>
      </w:r>
      <w:r>
        <w:t xml:space="preserve">Узуфруктарій</w:t>
      </w:r>
      <w:r>
        <w:t xml:space="preserve"> використовує передане йому на праві </w:t>
      </w:r>
      <w:r>
        <w:t xml:space="preserve">узуфрукту</w:t>
      </w:r>
      <w:r>
        <w:t xml:space="preserve"> комунальне майно для забезпечення безперебійного надання соціальних послуг</w:t>
      </w:r>
      <w:r/>
    </w:p>
    <w:p>
      <w:pPr>
        <w:pBdr/>
        <w:tabs>
          <w:tab w:val="left" w:leader="none" w:pos="567"/>
          <w:tab w:val="clear" w:leader="none" w:pos="709"/>
        </w:tabs>
        <w:spacing/>
        <w:ind/>
        <w:rPr/>
      </w:pPr>
      <w:r>
        <w:t xml:space="preserve">5. </w:t>
      </w:r>
      <w:r>
        <w:t xml:space="preserve">Узуфруктарію</w:t>
      </w:r>
      <w:r>
        <w:t xml:space="preserve"> забезпечити безпеку встановлення та експлуатації майна.</w:t>
      </w:r>
      <w:r/>
    </w:p>
    <w:p>
      <w:pPr>
        <w:pBdr/>
        <w:tabs>
          <w:tab w:val="left" w:leader="none" w:pos="567"/>
          <w:tab w:val="clear" w:leader="none" w:pos="709"/>
        </w:tabs>
        <w:spacing/>
        <w:ind/>
        <w:rPr/>
      </w:pPr>
      <w:r>
        <w:t xml:space="preserve">6. Встановити для </w:t>
      </w:r>
      <w:r>
        <w:t xml:space="preserve">Узуфруктарія</w:t>
      </w:r>
      <w:r>
        <w:t xml:space="preserve"> наступні особливості користування майном, зазначеним у додатку до рішення, переданим на праві </w:t>
      </w:r>
      <w:r>
        <w:t xml:space="preserve">узуфрукту</w:t>
      </w:r>
      <w:r>
        <w:t xml:space="preserve"> комунального майна:</w:t>
      </w:r>
      <w:r/>
    </w:p>
    <w:p>
      <w:pPr>
        <w:pBdr/>
        <w:tabs>
          <w:tab w:val="left" w:leader="none" w:pos="567"/>
          <w:tab w:val="clear" w:leader="none" w:pos="709"/>
        </w:tabs>
        <w:spacing/>
        <w:ind/>
        <w:rPr/>
      </w:pPr>
      <w:r>
        <w:t xml:space="preserve">6.1. </w:t>
      </w:r>
      <w:r>
        <w:t xml:space="preserve">Узуфруктарій</w:t>
      </w:r>
      <w:r>
        <w:t xml:space="preserve"> за попередньою згодою міської ради може покращувати майно, зазначене у додатку до рішення, без права на вилучення таких покращень.</w:t>
      </w:r>
      <w:r/>
    </w:p>
    <w:p>
      <w:pPr>
        <w:pBdr/>
        <w:tabs>
          <w:tab w:val="left" w:leader="none" w:pos="567"/>
          <w:tab w:val="clear" w:leader="none" w:pos="709"/>
        </w:tabs>
        <w:spacing/>
        <w:ind/>
        <w:rPr/>
      </w:pPr>
      <w:r>
        <w:t xml:space="preserve">6.2. </w:t>
      </w:r>
      <w:r>
        <w:t xml:space="preserve">Узуфруктарій</w:t>
      </w:r>
      <w:r>
        <w:t xml:space="preserve"> зобов’язаний використовувати майно, зазначене у додатку до рішення, згідно з цільовим призначенням, утримувати відповідне майно в належному стані, за власний рахунок проводити його поточний та капітальний ремонт.</w:t>
      </w:r>
      <w:r/>
    </w:p>
    <w:p>
      <w:pPr>
        <w:pBdr/>
        <w:tabs>
          <w:tab w:val="left" w:leader="none" w:pos="567"/>
          <w:tab w:val="clear" w:leader="none" w:pos="709"/>
        </w:tabs>
        <w:spacing/>
        <w:ind/>
        <w:rPr/>
      </w:pPr>
      <w:r>
        <w:t xml:space="preserve">6.3. </w:t>
      </w:r>
      <w:r>
        <w:t xml:space="preserve">Узуфруктарій</w:t>
      </w:r>
      <w:r>
        <w:t xml:space="preserve"> несе витрати, пов’язані з утриманням, користуванням та обслуговуванням майна, зазначеного у додатку до  рішення.</w:t>
      </w:r>
      <w:r/>
    </w:p>
    <w:p>
      <w:pPr>
        <w:pBdr/>
        <w:tabs>
          <w:tab w:val="left" w:leader="none" w:pos="567"/>
          <w:tab w:val="clear" w:leader="none" w:pos="709"/>
        </w:tabs>
        <w:spacing/>
        <w:ind/>
        <w:rPr/>
      </w:pPr>
      <w:r>
        <w:t xml:space="preserve">6.4. </w:t>
      </w:r>
      <w:r>
        <w:t xml:space="preserve">Узуфруктарій</w:t>
      </w:r>
      <w:r>
        <w:t xml:space="preserve"> не може відчужувати майно, зазначене у додатку до рішення.</w:t>
      </w:r>
      <w:r/>
    </w:p>
    <w:p>
      <w:pPr>
        <w:pBdr/>
        <w:tabs>
          <w:tab w:val="left" w:leader="none" w:pos="567"/>
          <w:tab w:val="clear" w:leader="none" w:pos="709"/>
        </w:tabs>
        <w:spacing/>
        <w:ind/>
        <w:rPr/>
      </w:pPr>
      <w:r>
        <w:t xml:space="preserve">7. </w:t>
      </w:r>
      <w:r>
        <w:t xml:space="preserve">Узуфрукт</w:t>
      </w:r>
      <w:r>
        <w:t xml:space="preserve"> комунального майна, встановлений даним рішенням, припиняється у разі:</w:t>
      </w:r>
      <w:r/>
    </w:p>
    <w:p>
      <w:pPr>
        <w:pBdr/>
        <w:tabs>
          <w:tab w:val="left" w:leader="none" w:pos="567"/>
          <w:tab w:val="clear" w:leader="none" w:pos="709"/>
        </w:tabs>
        <w:spacing/>
        <w:ind/>
        <w:rPr/>
      </w:pPr>
      <w:r>
        <w:t xml:space="preserve">7.1. припинення </w:t>
      </w:r>
      <w:r>
        <w:t xml:space="preserve">узуфруктарія</w:t>
      </w:r>
      <w:r>
        <w:t xml:space="preserve"> в результаті його ліквідації;</w:t>
      </w:r>
      <w:r/>
    </w:p>
    <w:p>
      <w:pPr>
        <w:pBdr/>
        <w:tabs>
          <w:tab w:val="left" w:leader="none" w:pos="567"/>
          <w:tab w:val="clear" w:leader="none" w:pos="709"/>
        </w:tabs>
        <w:spacing/>
        <w:ind/>
        <w:rPr/>
      </w:pPr>
      <w:r>
        <w:t xml:space="preserve">7.2. загибелі або припинення існування майна, щодо якого встановлений </w:t>
      </w:r>
      <w:r>
        <w:t xml:space="preserve">узуфрукт</w:t>
      </w:r>
      <w:r>
        <w:t xml:space="preserve"> комунального майна;</w:t>
      </w:r>
      <w:r/>
    </w:p>
    <w:p>
      <w:pPr>
        <w:pBdr/>
        <w:tabs>
          <w:tab w:val="left" w:leader="none" w:pos="567"/>
          <w:tab w:val="clear" w:leader="none" w:pos="709"/>
        </w:tabs>
        <w:spacing/>
        <w:ind/>
        <w:rPr/>
      </w:pPr>
      <w:r>
        <w:t xml:space="preserve">7.3. погіршення стану майна, щодо якого встановлено </w:t>
      </w:r>
      <w:r>
        <w:t xml:space="preserve">узуфрукт</w:t>
      </w:r>
      <w:r>
        <w:t xml:space="preserve"> комунального майна, внаслідок чого воно стає непридатним для використання за призначенням;</w:t>
      </w:r>
      <w:r/>
    </w:p>
    <w:p>
      <w:pPr>
        <w:pBdr/>
        <w:tabs>
          <w:tab w:val="left" w:leader="none" w:pos="567"/>
          <w:tab w:val="clear" w:leader="none" w:pos="709"/>
        </w:tabs>
        <w:spacing/>
        <w:ind/>
        <w:rPr/>
      </w:pPr>
      <w:r>
        <w:t xml:space="preserve">7.4. прийняття радою рішення про припинення </w:t>
      </w:r>
      <w:r>
        <w:t xml:space="preserve">узуфрукта</w:t>
      </w:r>
      <w:r>
        <w:t xml:space="preserve"> комунального майна, встановленого безстроково;</w:t>
      </w:r>
      <w:r/>
    </w:p>
    <w:p>
      <w:pPr>
        <w:pBdr/>
        <w:tabs>
          <w:tab w:val="left" w:leader="none" w:pos="567"/>
          <w:tab w:val="clear" w:leader="none" w:pos="709"/>
        </w:tabs>
        <w:spacing/>
        <w:ind/>
        <w:rPr/>
      </w:pPr>
      <w:r>
        <w:t xml:space="preserve">7.5. припинення </w:t>
      </w:r>
      <w:r>
        <w:t xml:space="preserve">узуфрукта</w:t>
      </w:r>
      <w:r>
        <w:t xml:space="preserve"> комунального майна за рішенням суду.</w:t>
      </w:r>
      <w:r/>
    </w:p>
    <w:p>
      <w:pPr>
        <w:pBdr/>
        <w:tabs>
          <w:tab w:val="left" w:leader="none" w:pos="567"/>
          <w:tab w:val="clear" w:leader="none" w:pos="709"/>
        </w:tabs>
        <w:spacing/>
        <w:ind/>
        <w:rPr/>
      </w:pPr>
      <w:r>
        <w:t xml:space="preserve">8. Контро</w:t>
      </w:r>
      <w:r>
        <w:t xml:space="preserve">ль за виконанням рішення покласти на постійну комісію міської ради з питань охорони здоров’я, соціального захисту населення, освіти, культури, молоді, фізкультури і спорту та секретаря ради Юрія СТАЛЬНИЧЕНКА</w:t>
      </w:r>
      <w:r>
        <w:t xml:space="preserve">.</w:t>
      </w:r>
      <w:r/>
    </w:p>
    <w:p>
      <w:pPr>
        <w:pBdr/>
        <w:tabs>
          <w:tab w:val="clear" w:leader="none" w:pos="709"/>
          <w:tab w:val="left" w:leader="none" w:pos="993"/>
        </w:tabs>
        <w:spacing/>
        <w:ind w:firstLine="0"/>
        <w:rPr/>
      </w:pPr>
      <w:r>
        <w:t xml:space="preserve"> </w:t>
      </w:r>
      <w:r/>
    </w:p>
    <w:p>
      <w:pPr>
        <w:pBdr/>
        <w:tabs>
          <w:tab w:val="clear" w:leader="none" w:pos="709"/>
          <w:tab w:val="left" w:leader="none" w:pos="6379"/>
        </w:tabs>
        <w:spacing/>
        <w:ind w:firstLine="0"/>
        <w:rPr/>
      </w:pPr>
      <w:r>
        <w:t xml:space="preserve"> </w:t>
      </w:r>
      <w:r/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/>
      </w:pPr>
      <w:r>
        <w:t xml:space="preserve">Секретар ради</w:t>
      </w:r>
      <w:r>
        <w:tab/>
        <w:t xml:space="preserve">Юрій СТАЛЬНИЧЕНКО</w:t>
      </w:r>
      <w:r/>
    </w:p>
    <w:p>
      <w:pPr>
        <w:pBdr/>
        <w:spacing/>
        <w:ind/>
        <w:rPr/>
      </w:pPr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 w:right="0" w:firstLine="0" w:left="0"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Heading 1"/>
    <w:basedOn w:val="907"/>
    <w:next w:val="907"/>
    <w:link w:val="730"/>
    <w:uiPriority w:val="9"/>
    <w:qFormat/>
    <w:pPr>
      <w:keepNext w:val="true"/>
      <w:keepLines w:val="true"/>
      <w:pBdr/>
      <w:spacing w:after="0" w:afterAutospacing="0" w:before="0" w:beforeAutospacing="0"/>
      <w:ind/>
      <w:jc w:val="center"/>
      <w:outlineLvl w:val="0"/>
    </w:pPr>
    <w:rPr>
      <w:rFonts w:ascii="Times New Roman" w:hAnsi="Times New Roman" w:eastAsia="Times New Roman" w:cs="Times New Roman"/>
      <w:b/>
      <w:color w:val="000000" w:themeColor="text1"/>
      <w:sz w:val="28"/>
      <w:szCs w:val="40"/>
      <w:lang w:eastAsia="uk-UA"/>
    </w:rPr>
  </w:style>
  <w:style w:type="character" w:styleId="730">
    <w:name w:val="Heading 1 Char"/>
    <w:link w:val="729"/>
    <w:uiPriority w:val="9"/>
    <w:pPr>
      <w:pBdr/>
      <w:spacing/>
      <w:ind/>
    </w:pPr>
    <w:rPr>
      <w:b/>
      <w:lang w:eastAsia="uk-UA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2">
    <w:name w:val="Heading 2 Char"/>
    <w:link w:val="73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6236"/>
        <w:tab w:val="left" w:leader="none" w:pos="6946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4">
    <w:name w:val="Heading 3 Char"/>
    <w:link w:val="73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basedOn w:val="908"/>
    <w:link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basedOn w:val="908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basedOn w:val="908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08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08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08"/>
    <w:link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748">
    <w:name w:val="No Spacing"/>
    <w:basedOn w:val="90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9">
    <w:name w:val="Title"/>
    <w:basedOn w:val="907"/>
    <w:next w:val="907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>
    <w:name w:val="Title Char"/>
    <w:basedOn w:val="908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2">
    <w:name w:val="Subtitle Char"/>
    <w:basedOn w:val="908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paragraph" w:styleId="757">
    <w:name w:val="Header"/>
    <w:basedOn w:val="907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Header Char"/>
    <w:basedOn w:val="908"/>
    <w:link w:val="757"/>
    <w:uiPriority w:val="99"/>
    <w:pPr>
      <w:pBdr/>
      <w:spacing/>
      <w:ind/>
    </w:pPr>
  </w:style>
  <w:style w:type="paragraph" w:styleId="759">
    <w:name w:val="Footer"/>
    <w:basedOn w:val="907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Footer Char"/>
    <w:basedOn w:val="908"/>
    <w:link w:val="759"/>
    <w:uiPriority w:val="99"/>
    <w:pPr>
      <w:pBdr/>
      <w:spacing/>
      <w:ind/>
    </w:pPr>
  </w:style>
  <w:style w:type="paragraph" w:styleId="761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  <w:pPr>
      <w:pBdr/>
      <w:spacing/>
      <w:ind/>
    </w:pPr>
  </w:style>
  <w:style w:type="table" w:styleId="763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>
    <w:name w:val="Endnote Text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7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8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899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0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1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2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3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4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2026-06-19T14:36:18Z</dcterms:modified>
</cp:coreProperties>
</file>