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402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дострокове припинення повноважень заступника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міського голови з питань діяльності виконавчих органів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ради Прищепи В.В.</w:t>
      </w:r>
      <w:r/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статтями 26, 50 Закону України «Про місцеве самоврядування в Україні», ст.38 Кодексу законів про працю України, беручи до уваги заяву заступника міського голови з питань діяльності виконавчих органів ради Прищепи Вікторії Василівни від 12.06.202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6 про дострокове припинення її повноважень та звільнення із займаної посади за власним бажанням, враховуючи рекомендації постійних комісій,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Взяти до відома заяву Прищепи Вікторії Василівни про дострокове припинення нею повноважень, як заступника міського голови з питань діяльності виконавчих органів ради і звільнення із займаної посади та вважати достроково припиненими її повноваження 30 червн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2026 року.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Звільнити Прищепу Вікторію Василівну з посади заступника міського голови з питань діяльності виконавчих органів ради 30 червня 2026 року за власним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бажанням відповідно до ст.38 Кодексу законів про працю України.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Вивести зі складу виконавчого комітету Менської міської ради з 01  липня  2026 року Прищепу Вікторію Василівну.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постійну комісію міської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ради з питань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2026-06-20T13:49:17Z</dcterms:modified>
</cp:coreProperties>
</file>