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404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присвоєння чергового рангу посадової особи місцевого самоврядування старості Макошинського старостинського округу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статей 14, 15 Закону України «Про службу в органах місцевого самоврядування», постанови Кабінету Міністрів України від 09 березня 2006 року № 268 «Про впорядкування структури умов оплати праці працівників апарату органів виконавчої влади, орг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анів прокуратури, судів та інших органів» зі змінами та доповненнями, враховуючи успішну роботу Попок Світлани Миколаївни на займаній посаді протягом двох років, керуючись статтею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Присвоїти ПОПОК Світлані Миколаївні, старості Макошинського старостинського округу Менської міської ради черговий 9 ранг посадової особи місцевого самоврядування в межах V категорії посад з 01 липня 2026 року.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бухгалтерського обліку та звітності Менської міської ради забезпечити нарахування та виплату коштів відповідно до присвоєного рангу.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даного рішення покласти на керуючого справами виконавчого комітету Менської міської ради Стародуб Л.О.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4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2026-06-20T08:09:39Z</dcterms:modified>
</cp:coreProperties>
</file>