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5"/>
        <w:suppressLineNumbers w:val="false"/>
        <w:pBdr/>
        <w:spacing w:after="0" w:afterAutospacing="0" w:before="0" w:beforeAutospacing="0"/>
        <w:ind w:left="566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  <w:t xml:space="preserve">Додаток 4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5"/>
        <w:suppressLineNumbers w:val="false"/>
        <w:pBdr/>
        <w:spacing w:after="0" w:afterAutospacing="0" w:before="0" w:beforeAutospacing="0"/>
        <w:ind w:right="0" w:firstLine="0" w:left="566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uk-UA"/>
        </w:rPr>
        <w:t xml:space="preserve">до рішення 74 сесії </w:t>
      </w:r>
      <w:r>
        <w:rPr>
          <w:sz w:val="28"/>
          <w:szCs w:val="28"/>
          <w:highlight w:val="none"/>
          <w:lang w:val="uk-UA"/>
        </w:rPr>
        <w:t xml:space="preserve">Менської міської ради </w:t>
      </w:r>
      <w:r>
        <w:rPr>
          <w:sz w:val="28"/>
          <w:szCs w:val="28"/>
          <w:highlight w:val="none"/>
          <w:lang w:val="uk-UA"/>
        </w:rPr>
        <w:t xml:space="preserve">8 скликання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5"/>
        <w:suppressLineNumbers w:val="false"/>
        <w:pBdr/>
        <w:spacing w:after="0" w:afterAutospacing="0" w:before="0" w:beforeAutospacing="0"/>
        <w:ind w:right="0" w:firstLine="0" w:left="5669"/>
        <w:jc w:val="both"/>
        <w:rPr>
          <w:sz w:val="28"/>
          <w:szCs w:val="28"/>
        </w:rPr>
      </w:pPr>
      <w:r>
        <w:rPr>
          <w:sz w:val="28"/>
          <w:szCs w:val="28"/>
          <w:highlight w:val="none"/>
          <w:lang w:val="uk-UA"/>
        </w:rPr>
        <w:t xml:space="preserve">19 червня 2026 року №367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rFonts w:ascii="Times New Roman" w:hAnsi="Times New Roman"/>
          <w:sz w:val="18"/>
          <w:szCs w:val="28"/>
          <w:lang w:eastAsia="ar-SA"/>
        </w:rPr>
      </w:r>
      <w:r>
        <w:rPr>
          <w:sz w:val="28"/>
        </w:rPr>
      </w:r>
      <w:r>
        <w:rPr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Інформаційна картка 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адміністративної послуги 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pStyle w:val="738"/>
        <w:pBdr/>
        <w:spacing/>
        <w:ind/>
        <w:jc w:val="center"/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(надається через центр надання адміністративних послуг)</w:t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r>
    </w:p>
    <w:p>
      <w:pPr>
        <w:pStyle w:val="738"/>
        <w:pBdr/>
        <w:spacing/>
        <w:ind/>
        <w:jc w:val="center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r>
    </w:p>
    <w:p>
      <w:pPr>
        <w:pStyle w:val="738"/>
        <w:pBdr/>
        <w:spacing/>
        <w:ind/>
        <w:jc w:val="center"/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  <w:t xml:space="preserve">Видача свідоцтва про право власності на житло</w:t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(назва адміністративної послуги)</w:t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Відділ житлово-комунального господарства та комунального майна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  <w:highlight w:val="none"/>
        </w:rPr>
        <w:t xml:space="preserve">(найменування суб’єкта адмінстративної послуги)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</w:r>
    </w:p>
    <w:tbl>
      <w:tblPr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953"/>
      </w:tblGrid>
      <w:tr>
        <w:trPr>
          <w:trHeight w:val="39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Інформація про надання адміністративних послуг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3117" w:type="dxa"/>
            <w:textDirection w:val="lrTb"/>
            <w:noWrap/>
          </w:tcPr>
          <w:p>
            <w:pPr>
              <w:pStyle w:val="738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Суб’єкт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38"/>
              <w:pBdr/>
              <w:spacing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5953" w:type="dxa"/>
            <w:textDirection w:val="lrTb"/>
            <w:noWrap/>
          </w:tcPr>
          <w:p>
            <w:pPr>
              <w:pStyle w:val="738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left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2"/>
                <w:sz w:val="24"/>
                <w:szCs w:val="24"/>
                <w:u w:val="none"/>
              </w:rPr>
              <w:t xml:space="preserve">Старости старостинських округів Менської міської територіальної громади</w:t>
            </w:r>
            <w:r>
              <w:rPr>
                <w:b w:val="0"/>
                <w:bCs w:val="0"/>
                <w:sz w:val="24"/>
                <w:szCs w:val="24"/>
                <w:u w:val="none"/>
              </w:rPr>
            </w:r>
            <w:r>
              <w:rPr>
                <w:b w:val="0"/>
                <w:bCs w:val="0"/>
                <w:sz w:val="24"/>
                <w:szCs w:val="24"/>
                <w:u w:val="none"/>
              </w:rPr>
            </w:r>
          </w:p>
          <w:p>
            <w:pPr>
              <w:pStyle w:val="738"/>
              <w:pBdr/>
              <w:spacing/>
              <w:ind w:right="0" w:firstLine="0" w:left="0"/>
              <w:jc w:val="left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738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9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Місце знаходження центру надання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5953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15600 м. Мена , вул. Героїв Ато, 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15674 с. Бірківка, пров. Шкільний № 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15675 с. Блистова, вул. Мацуєва № 1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15641 с. Величківка, вул. Миру № 25Б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15632 с. Волосківці, вул. Героїв України № 41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15631 с. Городище, вул. Шевченка № 50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15642 с. Данилівка, вул. Миру № 56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15670 с. Дягова, вул. Покровська № 19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15640 с. Киселівка, вул. Осипенка № 39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15655 с. Куковичі, вул. Миру № 46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15672 с Ліски, вул. Шевченка № 34А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15652 смт. Макошине, вул. Центральна № 3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15673 с. Осьмаки, вул. Шевченка № 60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15650 с. Покровське, вул. Козацька № 3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15643 с. Садове, вул. Перемоги № 2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15662 с. Семенівка, вул. Перемоги № 9А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15630 с. Синявка, вул. Польова № 2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15651 с. Слобідка, вул. Братів Федоренків № 27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15661 с. Стольне, вул. Миру № 10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15676 с. Ушня, пров. Шкільний № 9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28" w:lineRule="auto"/>
              <w:ind w:right="59" w:firstLine="0" w:left="0"/>
              <w:jc w:val="both"/>
              <w:rPr>
                <w:rFonts w:ascii="Arial" w:hAnsi="Arial" w:eastAsia="Arial" w:cs="Arial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15671 с. Феськівка, вул. Миру № 25А</w:t>
            </w:r>
            <w:r>
              <w:rPr>
                <w:rFonts w:ascii="Arial" w:hAnsi="Arial" w:eastAsia="Arial" w:cs="Arial"/>
                <w:sz w:val="22"/>
              </w:rPr>
            </w:r>
            <w:r>
              <w:rPr>
                <w:rFonts w:ascii="Arial" w:hAnsi="Arial" w:eastAsia="Arial" w:cs="Arial"/>
                <w:sz w:val="2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Режим роботи центру надання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5953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«Центр надання адміністративних послуг» Менської міської ради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Понеділок-середа      з 8:30 до 16:30</w:t>
              <w:br/>
              <w:t xml:space="preserve"> Четвер                        з 8:30 до 20:00</w:t>
              <w:br/>
              <w:t xml:space="preserve"> П’ятниця-субота       з 8:30 до 15:30</w:t>
              <w:br/>
              <w:t xml:space="preserve"> Вихідний день                 неділя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ВРМ відділу «Центр надання адміністративних послуг», старости в старостинських округах Менської міської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територіальної громади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Понеділок-п’ятниця: з 8:00 до 17:00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28" w:lineRule="auto"/>
              <w:ind w:right="59" w:firstLine="385" w:lef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Вихідні                          субота, неділя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38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9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5953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285" w:lineRule="atLeast"/>
              <w:ind w:right="0" w:firstLine="0" w:left="0"/>
              <w:rPr>
                <w:rFonts w:ascii="Arial" w:hAnsi="Arial" w:eastAsia="Arial" w:cs="Arial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Телефон: 093-38-36-292, cnap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radamena@cg.gov.ua</w:t>
            </w:r>
            <w:r>
              <w:rPr>
                <w:rFonts w:ascii="Arial" w:hAnsi="Arial" w:eastAsia="Arial" w:cs="Arial"/>
                <w:sz w:val="22"/>
              </w:rPr>
            </w:r>
            <w:r>
              <w:rPr>
                <w:rFonts w:ascii="Arial" w:hAnsi="Arial" w:eastAsia="Arial" w:cs="Arial"/>
                <w:sz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28" w:lineRule="auto"/>
              <w:ind w:right="58" w:firstLine="394" w:left="69"/>
              <w:jc w:val="both"/>
              <w:rPr>
                <w:rFonts w:ascii="Arial" w:hAnsi="Arial" w:eastAsia="Arial" w:cs="Arial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>
              <w:rPr>
                <w:rFonts w:ascii="Arial" w:hAnsi="Arial" w:eastAsia="Arial" w:cs="Arial"/>
                <w:sz w:val="22"/>
              </w:rPr>
            </w:r>
            <w:r>
              <w:rPr>
                <w:rFonts w:ascii="Arial" w:hAnsi="Arial" w:eastAsia="Arial" w:cs="Arial"/>
                <w:sz w:val="22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trHeight w:val="5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Закони України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595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Закони України</w:t>
              <w:br/>
              <w:t xml:space="preserve"> «Про приватизацію державного житлового фонду», «Про забезпечення реалізації житлових прав мешканців гуртожитків»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97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кти центральних органів виконав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чої влади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595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Постанова Кабінету Міністрів України від 08.10.1992 № 572 «Про механізм впровадження Закону України “Про приватизацію державного житлового фонду”»;</w:t>
              <w:br/>
              <w:t xml:space="preserve"> Наказ Міністерства з питань житлово-комунального господарства України від 16.12.2009 № 396;</w:t>
              <w:br/>
              <w:t xml:space="preserve"> Наказ Мінрегіо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ну від 10.05.2018 № 114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Акти місцевих органів вико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навчої влади/органів місцевого самоврядування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595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8.</w:t>
            </w: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1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Підстава для одержання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5953" w:type="dxa"/>
            <w:textDirection w:val="lrTb"/>
            <w:noWrap/>
          </w:tcPr>
          <w:p>
            <w:pPr>
              <w:pStyle w:val="738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Заява громадянина на приватизацію квартири (будинку), жилого приміщення у гуртожитку, кімнати у комунальній квартирі та подання встановленого законодавством пакета документів.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0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9.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1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Вичерпний перелік документів, необхідних для отримання адміністративної послуги, а також вимоги до них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5953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Громадянином подаються: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737"/>
              <w:numPr>
                <w:ilvl w:val="0"/>
                <w:numId w:val="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Заява на приватизацію квартири (будинку), жилого приміщення у гуртожитку, кімнати у комунальній квартирі.</w:t>
            </w:r>
            <w:r/>
          </w:p>
          <w:p>
            <w:pPr>
              <w:pStyle w:val="737"/>
              <w:numPr>
                <w:ilvl w:val="0"/>
                <w:numId w:val="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Копія документа, що посвідчує особу заявника та членів його сім’ї (паспорт громадянина України / ID-картка; для осіб до 14 років — свідоцтво про народження).</w:t>
            </w:r>
            <w:r/>
          </w:p>
          <w:p>
            <w:pPr>
              <w:pStyle w:val="737"/>
              <w:numPr>
                <w:ilvl w:val="0"/>
                <w:numId w:val="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Копія реєстраційного номера облікової картки платника податків заявника та членів його сім’ї (крім осіб, які відмовилися від його прийняття з релігійних причин та мають відповідну відмітку в паспорті).</w:t>
            </w:r>
            <w:r/>
          </w:p>
          <w:p>
            <w:pPr>
              <w:pStyle w:val="737"/>
              <w:numPr>
                <w:ilvl w:val="0"/>
                <w:numId w:val="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Копії документів, що підтверджують сімейні відносини між членами сім’ї (свідоцтва про народження, свідоцтво про шлюб, рішення суду, документи про опіку/піклування — за наявності).</w:t>
            </w:r>
            <w:r/>
          </w:p>
          <w:p>
            <w:pPr>
              <w:pStyle w:val="737"/>
              <w:numPr>
                <w:ilvl w:val="0"/>
                <w:numId w:val="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Витяг з реєстру територіальної громади щодо реєстрації місця проживання заявника та всіх членів його сім’ї.</w:t>
            </w:r>
            <w:r/>
          </w:p>
          <w:p>
            <w:pPr>
              <w:pStyle w:val="737"/>
              <w:numPr>
                <w:ilvl w:val="0"/>
                <w:numId w:val="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Технічний паспорт на об’єкт нерухомого майна (квартиру, житловий будинок, кімнату, жилий блок, секцію) або садибний (індивідуальний) житловий будинок.</w:t>
            </w:r>
            <w:r/>
          </w:p>
          <w:p>
            <w:pPr>
              <w:pStyle w:val="737"/>
              <w:numPr>
                <w:ilvl w:val="0"/>
                <w:numId w:val="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Копія ордера на жиле приміщення або ордера на жилу площу в гуртожитку (за наявності).</w:t>
            </w:r>
            <w:r/>
          </w:p>
          <w:p>
            <w:pPr>
              <w:pStyle w:val="737"/>
              <w:numPr>
                <w:ilvl w:val="0"/>
                <w:numId w:val="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Документ, що підтверджує невикористання житлових чеків для приватизації державного житлового фонду.</w:t>
            </w:r>
            <w:r/>
          </w:p>
          <w:p>
            <w:pPr>
              <w:pStyle w:val="737"/>
              <w:numPr>
                <w:ilvl w:val="0"/>
                <w:numId w:val="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Копія документа, що підтверджує право на пільгові умови приватизації (за наявності).</w:t>
            </w:r>
            <w:r/>
          </w:p>
          <w:p>
            <w:pPr>
              <w:pStyle w:val="737"/>
              <w:numPr>
                <w:ilvl w:val="0"/>
                <w:numId w:val="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Заява-згода тимчасово відсутніх членів сім’ї наймача на приватизацію житла.</w:t>
            </w:r>
            <w:r/>
          </w:p>
          <w:p>
            <w:pPr>
              <w:pStyle w:val="737"/>
              <w:numPr>
                <w:ilvl w:val="0"/>
                <w:numId w:val="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 разі участі у приватизації неповнолітніх — згода батьків (усиновлювачів) або опікунів, засвідчена підписами у заяві.</w:t>
            </w:r>
            <w:r/>
          </w:p>
          <w:p>
            <w:pPr>
              <w:pStyle w:val="737"/>
              <w:numPr>
                <w:ilvl w:val="0"/>
                <w:numId w:val="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Інші документи у разі необхідності.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Для громадян, які проживають у гуртожитку, додатково подаються: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37"/>
              <w:numPr>
                <w:ilvl w:val="0"/>
                <w:numId w:val="9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Витяг з Державного реєстру речових прав на нерухоме майно.</w:t>
            </w:r>
            <w:r/>
          </w:p>
          <w:p>
            <w:pPr>
              <w:pStyle w:val="737"/>
              <w:numPr>
                <w:ilvl w:val="0"/>
                <w:numId w:val="9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Копія договору найму та/або договору оренди житлового приміщення.</w:t>
            </w:r>
            <w:r/>
          </w:p>
          <w:p>
            <w:pPr>
              <w:pStyle w:val="737"/>
              <w:numPr>
                <w:ilvl w:val="0"/>
                <w:numId w:val="9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Форма первинної облікової документації № 028/о «Консультаційний висновок спеціаліста» з відміткою про відсутність захворювання на туберкульоз.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Додатково: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37"/>
              <w:numPr>
                <w:ilvl w:val="0"/>
                <w:numId w:val="10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 разі, якщо один або кілька членів сім’ї використали житлові чеки для приватизації, подається заява-відмова від участі у приватизації житла.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70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89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1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Порядок та спосіб подання документів, необхідних для отримання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59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Документи подаються громадянином (та за наявності — членами його сім’ї) особисто через відділ «Центр надання адміністративних послуг» Менської міської ради, де надається консультація та бланк заяви, або через уповноважену особу у встановленому законодавств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 порядку.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50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11.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1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Платність(безоплатність) надання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59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Адміністративна послуга надається безоплатно.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 разі, якщо загальна площа об’єкта приватизації перевищує площу, що передбачена для безоплатної приватизації, заявник здійснює доплату відповідно до чинного законодавства. Розмір доплати визначається за затвердженою методикою та надається заявнику із зазн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аченням реквізитів для оплати.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12.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1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59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 календарних днів. У разі неможливості прийняття рішення у цей строк — у строки, визначені статтею 10 Закону України «Про адміністративні послуги».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</w:p>
        </w:tc>
      </w:tr>
      <w:tr>
        <w:trPr>
          <w:trHeight w:val="63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1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Перелік підстав для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відмови унаданні адміні-стративної послуги</w:t>
            </w: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5953" w:type="dxa"/>
            <w:textDirection w:val="lrTb"/>
            <w:noWrap/>
          </w:tcPr>
          <w:p>
            <w:pPr>
              <w:pStyle w:val="737"/>
              <w:numPr>
                <w:ilvl w:val="0"/>
                <w:numId w:val="1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Об’єкт житлового фонду не підлягає приватизації відповідно до законодавства.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737"/>
              <w:numPr>
                <w:ilvl w:val="0"/>
                <w:numId w:val="1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Подання заявником недостовірних відомостей або документів, оформлених з порушенням вимог чинного законодавства.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737"/>
              <w:numPr>
                <w:ilvl w:val="0"/>
                <w:numId w:val="1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Житлові приміщення, що не підлягають приватизації відповідно до законодавства, зокрема: квартири-музеї; житлові приміщення у гуртожитках, розташовані на територіях закритих військових містечок, підприємств, установ та організацій; об’єкти природно-заповідн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ого фонду; аварійне житло; службове житло; житлові приміщення, розташовані в зоні безумовного (обов’язкового) відселення, забрудненій внаслідок Чорнобильської катастрофи.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737"/>
              <w:numPr>
                <w:ilvl w:val="0"/>
                <w:numId w:val="1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Відсутність підстав для приватизації або порушення порядку приватизації, визначеного законодавством.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14.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1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Результат надання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5953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Видача свідоцтва про право власності на житло. У разі відмови — письмове повідомлення (лист).</w:t>
            </w:r>
            <w:r/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trHeight w:val="36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15.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1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Способи отримання відповіді (результату)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59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Особисто уповноваженим квартиронаймачем або уповноваженою ним особою.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1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Примітка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595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 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</w:tbl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  <w:szCs w:val="24"/>
        </w:rPr>
      </w:pPr>
      <w:r>
        <w:rPr>
          <w:rFonts w:ascii="Times New Roman" w:hAnsi="Times New Roman" w:eastAsia="Times New Roman"/>
          <w:b/>
          <w:color w:val="000000"/>
          <w:sz w:val="28"/>
          <w:szCs w:val="24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</w:rPr>
      </w:r>
    </w:p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  <w:szCs w:val="24"/>
        </w:rPr>
      </w:pPr>
      <w:r>
        <w:rPr>
          <w:rFonts w:ascii="Times New Roman" w:hAnsi="Times New Roman" w:eastAsia="Times New Roman"/>
          <w:b/>
          <w:color w:val="000000"/>
          <w:sz w:val="28"/>
          <w:szCs w:val="24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</w:rPr>
      </w:r>
    </w:p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8"/>
          <w:szCs w:val="24"/>
        </w:rPr>
        <w:br w:type="page" w:clear="all"/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Технологічна картка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адміністративної послуги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i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i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i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Видача свідоцтва про  право власності на житло</w:t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Відділ житлово-комунального господарства та комунального майна Менської міської ради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1508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500"/>
        <w:gridCol w:w="3138"/>
        <w:gridCol w:w="2658"/>
        <w:gridCol w:w="1660"/>
        <w:gridCol w:w="1856"/>
        <w:gridCol w:w="1776"/>
      </w:tblGrid>
      <w:tr>
        <w:trPr>
          <w:gridAfter w:val="1"/>
          <w:trHeight w:val="77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 w:firstLine="20" w:left="-19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№ п/п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Етапи опрацювання послуги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Відповідальна посадоваособа і структурний підрозділ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Дія ( В,У,П,З)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Термін виконання (днів)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gridAfter w:val="1"/>
          <w:trHeight w:val="1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gridAfter w:val="1"/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Прийом і перевірка повноти пакету документів, реєстрація заяви та повідомлення заявника про орієнтовний  термін виконання послуги.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Адміністратор відділу«Центр надання адміністративних послуг»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 робочий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день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gridAfter w:val="1"/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Формування справи надання адміністративної послуги іпередача пакету документів заявника до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відділу ЖКГ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ради.</w:t>
            </w: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 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ідділ житлово-комунального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господарства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 робочий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день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Розгляд та перевірка відповідності пакету документів, які подані для отримання адмінпослуги, вимогам законодавчих актів України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Відділ ЖКГ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 Юридичний відділ Менської міської ради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Style w:val="898"/>
                <w:rFonts w:eastAsia="Calibri"/>
                <w:sz w:val="24"/>
              </w:rPr>
              <w:t xml:space="preserve">3 робочі дні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Style w:val="898"/>
                <w:rFonts w:eastAsia="Calibri"/>
                <w:sz w:val="24"/>
              </w:rPr>
              <w:t xml:space="preserve">4.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Style w:val="898"/>
                <w:rFonts w:eastAsia="Calibri"/>
                <w:sz w:val="24"/>
              </w:rPr>
              <w:t xml:space="preserve">Перевірка документів на відсутність підстав для відмови в наданні адмініс-тративної послуги та </w:t>
            </w:r>
            <w:r>
              <w:rPr>
                <w:rStyle w:val="898"/>
                <w:rFonts w:eastAsia="Calibri"/>
                <w:sz w:val="24"/>
                <w:szCs w:val="24"/>
              </w:rPr>
              <w:t xml:space="preserve">передача поданого пакету документів до органу приватизації на розгляд.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Відділ ЖКГ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 Юридичний відділ Менської міської ради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rPr>
                <w:rStyle w:val="898"/>
                <w:rFonts w:eastAsia="Calibri"/>
                <w:sz w:val="24"/>
                <w:szCs w:val="28"/>
              </w:rPr>
            </w:pPr>
            <w:r>
              <w:rPr>
                <w:rStyle w:val="898"/>
                <w:rFonts w:eastAsia="Calibri"/>
                <w:sz w:val="24"/>
              </w:rPr>
              <w:t xml:space="preserve">  2 робочі дні</w:t>
            </w:r>
            <w:r>
              <w:rPr>
                <w:rStyle w:val="898"/>
                <w:rFonts w:eastAsia="Calibri"/>
                <w:sz w:val="24"/>
                <w:szCs w:val="28"/>
              </w:rPr>
            </w:r>
            <w:r>
              <w:rPr>
                <w:rStyle w:val="898"/>
                <w:rFonts w:eastAsia="Calibri"/>
                <w:sz w:val="24"/>
                <w:szCs w:val="28"/>
              </w:rPr>
            </w:r>
          </w:p>
          <w:p>
            <w:pPr>
              <w:widowControl w:val="false"/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5.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Style w:val="898"/>
                <w:rFonts w:eastAsia="Calibri"/>
                <w:sz w:val="24"/>
                <w:szCs w:val="24"/>
              </w:rPr>
            </w:pPr>
            <w:r>
              <w:rPr>
                <w:rStyle w:val="898"/>
                <w:rFonts w:eastAsia="Calibri"/>
                <w:sz w:val="24"/>
              </w:rPr>
              <w:t xml:space="preserve">Проведення розрахунків площі, що приватизується безоплатно, вартості надлишкової загальної площі квартири (будинку), жилого приміщення у </w:t>
            </w:r>
            <w:r>
              <w:rPr>
                <w:rFonts w:ascii="Times New Roman" w:hAnsi="Times New Roman" w:eastAsia="Times New Roman"/>
                <w:sz w:val="24"/>
              </w:rPr>
              <w:t xml:space="preserve">гуртожитку, кімнати у комунальній квартирі</w:t>
            </w:r>
            <w:r>
              <w:rPr>
                <w:rStyle w:val="898"/>
                <w:rFonts w:eastAsia="Calibri"/>
                <w:sz w:val="24"/>
                <w:szCs w:val="24"/>
              </w:rPr>
            </w:r>
            <w:r>
              <w:rPr>
                <w:rStyle w:val="898"/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Відділ бухгалтерського обліку та звітності  Менської міської ради.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Style w:val="898"/>
                <w:rFonts w:eastAsia="Calibri"/>
                <w:sz w:val="24"/>
                <w:szCs w:val="24"/>
              </w:rPr>
            </w:pPr>
            <w:r>
              <w:rPr>
                <w:rStyle w:val="898"/>
                <w:rFonts w:eastAsia="Calibri"/>
                <w:sz w:val="24"/>
              </w:rPr>
              <w:t xml:space="preserve"> 3 робочі дні після перевірки документів на відсутність підстав для відмови в наданні адміністратив-ної послуги ( в разі відсутності підстав для відмови)</w:t>
            </w:r>
            <w:r>
              <w:rPr>
                <w:rStyle w:val="898"/>
                <w:rFonts w:eastAsia="Calibri"/>
                <w:sz w:val="24"/>
                <w:szCs w:val="24"/>
              </w:rPr>
            </w:r>
            <w:r>
              <w:rPr>
                <w:rStyle w:val="898"/>
                <w:rFonts w:eastAsia="Calibri"/>
                <w:sz w:val="24"/>
                <w:szCs w:val="24"/>
              </w:rPr>
            </w:r>
          </w:p>
        </w:tc>
        <w:tc>
          <w:tcPr>
            <w:tcBorders/>
            <w:tcW w:w="177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Style w:val="898"/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</w:r>
            <w:r>
              <w:rPr>
                <w:rStyle w:val="898"/>
                <w:rFonts w:eastAsia="Calibri"/>
                <w:sz w:val="24"/>
              </w:rPr>
            </w:r>
            <w:r>
              <w:rPr>
                <w:rStyle w:val="898"/>
                <w:rFonts w:eastAsia="Calibri"/>
                <w:sz w:val="24"/>
              </w:rPr>
            </w:r>
          </w:p>
        </w:tc>
      </w:tr>
      <w:tr>
        <w:trPr>
          <w:gridAfter w:val="1"/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i/>
                <w:sz w:val="24"/>
              </w:rPr>
            </w:pPr>
            <w:r>
              <w:rPr>
                <w:rFonts w:ascii="Times New Roman" w:hAnsi="Times New Roman" w:eastAsia="Times New Roman"/>
                <w:i/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rFonts w:ascii="Times New Roman" w:hAnsi="Times New Roman" w:eastAsia="Times New Roman"/>
                <w:i/>
                <w:color w:val="000000"/>
                <w:sz w:val="24"/>
              </w:rPr>
              <w:t xml:space="preserve">.</w:t>
            </w:r>
            <w:r>
              <w:rPr>
                <w:rFonts w:ascii="Times New Roman" w:hAnsi="Times New Roman" w:eastAsia="Times New Roman"/>
                <w:i/>
                <w:sz w:val="24"/>
              </w:rPr>
            </w:r>
            <w:r>
              <w:rPr>
                <w:rFonts w:ascii="Times New Roman" w:hAnsi="Times New Roman" w:eastAsia="Times New Roman"/>
                <w:i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Підготовка проєкту рішення виконавчого комітету міської ради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або відмови про надання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Відділ ЖКГ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та комунального майна Менської міської ради.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 Юридичний відділ Менської міської ради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15  днів, </w:t>
            </w:r>
            <w:r>
              <w:rPr>
                <w:rStyle w:val="898"/>
                <w:rFonts w:eastAsia="Calibri"/>
                <w:sz w:val="24"/>
              </w:rPr>
              <w:t xml:space="preserve">1 день після проведення розрахунків площі, що приватизується, вартості надлишкової загальної площі квартири ( в разі відсутності підстав для відмови)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gridAfter w:val="1"/>
          <w:trHeight w:val="21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color w:val="000000"/>
                <w:sz w:val="24"/>
                <w:szCs w:val="24"/>
                <w:lang w:val="uk-UA"/>
              </w:rPr>
              <w:t xml:space="preserve">7.</w:t>
            </w:r>
            <w:r>
              <w:rPr>
                <w:rFonts w:ascii="Times New Roman" w:hAnsi="Times New Roman" w:eastAsia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Style w:val="898"/>
                <w:rFonts w:eastAsia="Calibri"/>
                <w:sz w:val="24"/>
              </w:rPr>
              <w:t xml:space="preserve">Розгляд документів на засіданні виконавчого комітету Менської міської ради та прийняття рішення про передачу житла у власність або відмову у передачі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Виконавчий комітет Менської міської ради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Згідно плану роботи виконавчого комітету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  <w:trHeight w:val="7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8.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Style w:val="898"/>
                <w:rFonts w:eastAsia="Calibri"/>
                <w:sz w:val="24"/>
              </w:rPr>
              <w:t xml:space="preserve">Виписка приватизаційних платіжних доручень  в разі прийняття рішення про передачу в приватну власність житла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Відділ бухгалтерського обліку та звітності  Менської міської ради.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1 робочий день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gridAfter w:val="1"/>
          <w:trHeight w:val="7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rStyle w:val="898"/>
                <w:rFonts w:eastAsia="Calibri"/>
                <w:sz w:val="24"/>
              </w:rPr>
            </w:pPr>
            <w:r>
              <w:rPr>
                <w:rStyle w:val="898"/>
                <w:rFonts w:eastAsia="Calibri"/>
                <w:sz w:val="24"/>
              </w:rPr>
              <w:t xml:space="preserve">Передача приватизаційних платіжних доручень до відділу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ЖКГ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та комунального майна Менської міської ради</w:t>
            </w:r>
            <w:r>
              <w:rPr>
                <w:rStyle w:val="898"/>
                <w:rFonts w:eastAsia="Calibri"/>
                <w:sz w:val="24"/>
              </w:rPr>
            </w:r>
            <w:r>
              <w:rPr>
                <w:rStyle w:val="898"/>
                <w:rFonts w:eastAsia="Calibri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Відділ бухгалтерського обліку та звітності  Менської міської ради.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1 робочий день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gridAfter w:val="1"/>
          <w:trHeight w:val="7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rStyle w:val="898"/>
                <w:rFonts w:eastAsia="Calibri"/>
                <w:sz w:val="24"/>
              </w:rPr>
            </w:pPr>
            <w:r>
              <w:rPr>
                <w:rStyle w:val="898"/>
                <w:rFonts w:eastAsia="Calibri"/>
                <w:sz w:val="24"/>
              </w:rPr>
              <w:t xml:space="preserve">Видача суб’єкту звернення приватизаційних платіжних доручень для списання житлових чеків з депозитних рахунків громадян в разі прийняття рішення про передачу в приватну власність житла</w:t>
            </w:r>
            <w:r>
              <w:rPr>
                <w:rStyle w:val="898"/>
                <w:rFonts w:eastAsia="Calibri"/>
                <w:sz w:val="24"/>
              </w:rPr>
            </w:r>
            <w:r>
              <w:rPr>
                <w:rStyle w:val="898"/>
                <w:rFonts w:eastAsia="Calibri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Відділ ЖКГ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2 робочі дні з дня прийняття рішення виконкому (в разі відсутності підстав для відмови)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gridAfter w:val="1"/>
          <w:trHeight w:val="7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11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rStyle w:val="898"/>
                <w:rFonts w:eastAsia="Calibri"/>
                <w:sz w:val="24"/>
              </w:rPr>
            </w:pPr>
            <w:r>
              <w:rPr>
                <w:rStyle w:val="898"/>
                <w:rFonts w:eastAsia="Calibri"/>
                <w:sz w:val="24"/>
              </w:rPr>
              <w:t xml:space="preserve">Оформлення свідоцтва про право власності на житло або вмотивованого листа - відмови в наданні адміністративної послуги</w:t>
            </w:r>
            <w:r>
              <w:rPr>
                <w:rStyle w:val="898"/>
                <w:rFonts w:eastAsia="Calibri"/>
                <w:sz w:val="24"/>
              </w:rPr>
            </w:r>
            <w:r>
              <w:rPr>
                <w:rStyle w:val="898"/>
                <w:rFonts w:eastAsia="Calibri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Відділ ЖКГ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  Не пізніше наступного робочого дня після прийняття рішення виконавчим комітетом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</w:p>
        </w:tc>
      </w:tr>
      <w:tr>
        <w:trPr>
          <w:gridAfter w:val="1"/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  <w:lang w:val="uk-UA"/>
              </w:rPr>
              <w:t xml:space="preserve">12</w:t>
            </w:r>
            <w:r>
              <w:rPr>
                <w:rFonts w:ascii="Times New Roman" w:hAnsi="Times New Roman" w:eastAsia="Times New Roman"/>
                <w:sz w:val="24"/>
              </w:rPr>
            </w:r>
            <w:r>
              <w:rPr>
                <w:rFonts w:ascii="Times New Roman" w:hAnsi="Times New Roman" w:eastAsia="Times New Roman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pPr>
            <w:r>
              <w:rPr>
                <w:rStyle w:val="898"/>
                <w:rFonts w:eastAsia="Calibri"/>
                <w:sz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Видача заявнику завіреної копії рішення Виконавчого комітету про 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  <w:t xml:space="preserve">видачу свідоцтва про  право власності на житло. </w:t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r>
          </w:p>
          <w:p>
            <w:pPr>
              <w:pBdr/>
              <w:spacing/>
              <w:ind/>
              <w:jc w:val="left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Style w:val="898"/>
                <w:rFonts w:eastAsia="Calibri"/>
                <w:sz w:val="24"/>
              </w:rPr>
              <w:t xml:space="preserve">Видача суб’єкту звернення свідоцтва про право власності на житло або вмотивованого листа - відмови в наданні адміністративної послуги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Відділ ЖКГ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Не пізніше наступного робочого дня після прийняття рішення виконавчим комітетом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gridAfter w:val="1"/>
          <w:trHeight w:val="871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5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                         Загальна кількість днів надання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До 45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робочих днів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gridAfter w:val="1"/>
          <w:trHeight w:val="871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56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Загальна кількість днів (передбачена законодавством)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6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До 45 робочих днів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</w:tbl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pStyle w:val="738"/>
        <w:pBdr/>
        <w:spacing/>
        <w:ind w:firstLine="609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Виконавчому комітету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Менської міської ради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від гр.__________________________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(прізвище, ім’я, по-батькові;,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8"/>
        <w:pBdr/>
        <w:spacing/>
        <w:ind/>
        <w:rPr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число, місяць, рік народження)</w:t>
      </w:r>
      <w:r>
        <w:rPr>
          <w:highlight w:val="none"/>
        </w:rPr>
      </w:r>
      <w:r>
        <w:rPr>
          <w:highlight w:val="none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_______________________________ 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який(а) зареєстрований(а) в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вул.___________________________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буд. № ______________кв._______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паспорт серія____ №___________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реєстраційний номер облікової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картки платника податків: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телефон 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8"/>
        <w:pBdr/>
        <w:spacing/>
        <w:ind w:firstLine="6094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8"/>
        <w:pBdr/>
        <w:spacing/>
        <w:ind w:firstLine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38"/>
        <w:pBdr/>
        <w:spacing/>
        <w:ind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Заява</w:t>
      </w:r>
      <w:r>
        <w:rPr>
          <w:rFonts w:ascii="Times New Roman" w:hAnsi="Times New Roman" w:cs="Times New Roman"/>
          <w:color w:val="333333"/>
          <w:sz w:val="28"/>
          <w:szCs w:val="28"/>
        </w:rPr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Прошу оформити передачу у приватну (спільну сумісну або спільну часткову) власність квартири (будинку), жилого приміщення у гуртожитку, кімнати у комунальній квартирі, що я займаю разом з членами сім’ї на умовах найму.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Відповідно до Законів України «Про приватизацію державного житлового фонду» та «Про забезпечення реалізації житлових прав мешканців гуртожитків» моя сім’я має право на безоплатну приватизацію житла.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 разі оформлення у спільну часткову власність прошу передати у власність членам сім’ї у рівних частках: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8"/>
        <w:pBdr/>
        <w:spacing/>
        <w:ind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color w:val="333333"/>
          <w:sz w:val="28"/>
          <w:szCs w:val="28"/>
        </w:rPr>
      </w:r>
      <w:r>
        <w:rPr>
          <w:rFonts w:ascii="Times New Roman" w:hAnsi="Times New Roman"/>
          <w:color w:val="333333"/>
          <w:sz w:val="28"/>
          <w:szCs w:val="28"/>
        </w:rPr>
      </w:r>
    </w:p>
    <w:p>
      <w:pPr>
        <w:pStyle w:val="738"/>
        <w:pBdr/>
        <w:spacing/>
        <w:ind/>
        <w:jc w:val="left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Уповноваженим власником житла визначаю:  ____________________________________________________________________</w:t>
      </w:r>
      <w:r>
        <w:rPr>
          <w:rFonts w:ascii="Times New Roman" w:hAnsi="Times New Roman"/>
          <w:color w:val="333333"/>
          <w:sz w:val="28"/>
          <w:szCs w:val="28"/>
        </w:rPr>
      </w:r>
      <w:r>
        <w:rPr>
          <w:rFonts w:ascii="Times New Roman" w:hAnsi="Times New Roman"/>
          <w:color w:val="333333"/>
          <w:sz w:val="28"/>
          <w:szCs w:val="28"/>
        </w:rPr>
      </w:r>
    </w:p>
    <w:p>
      <w:pPr>
        <w:pStyle w:val="738"/>
        <w:pBdr/>
        <w:spacing/>
        <w:ind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color w:val="333333"/>
          <w:sz w:val="28"/>
          <w:szCs w:val="28"/>
        </w:rPr>
      </w:r>
      <w:r>
        <w:rPr>
          <w:rFonts w:ascii="Times New Roman" w:hAnsi="Times New Roman"/>
          <w:color w:val="333333"/>
          <w:sz w:val="28"/>
          <w:szCs w:val="28"/>
        </w:rPr>
      </w:r>
    </w:p>
    <w:p>
      <w:pPr>
        <w:pStyle w:val="738"/>
        <w:pBdr/>
        <w:spacing/>
        <w:ind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 заяви додаю:</w:t>
      </w:r>
      <w:r>
        <w:rPr>
          <w:rFonts w:ascii="Times New Roman" w:hAnsi="Times New Roman"/>
          <w:color w:val="333333"/>
          <w:sz w:val="28"/>
          <w:szCs w:val="28"/>
        </w:rPr>
      </w:r>
      <w:r>
        <w:rPr>
          <w:rFonts w:ascii="Times New Roman" w:hAnsi="Times New Roman"/>
          <w:color w:val="333333"/>
          <w:sz w:val="28"/>
          <w:szCs w:val="28"/>
        </w:rPr>
      </w:r>
    </w:p>
    <w:p>
      <w:pPr>
        <w:pStyle w:val="738"/>
        <w:pBdr/>
        <w:spacing/>
        <w:ind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___________________________________________________________________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color w:val="333333"/>
          <w:sz w:val="28"/>
          <w:szCs w:val="28"/>
        </w:rPr>
      </w:r>
      <w:r>
        <w:rPr>
          <w:rFonts w:ascii="Times New Roman" w:hAnsi="Times New Roman"/>
          <w:color w:val="333333"/>
          <w:sz w:val="28"/>
          <w:szCs w:val="28"/>
        </w:rPr>
      </w:r>
    </w:p>
    <w:p>
      <w:pPr>
        <w:pStyle w:val="738"/>
        <w:pBdr/>
        <w:spacing/>
        <w:ind/>
        <w:rPr>
          <w:rFonts w:ascii="Times New Roman" w:hAnsi="Times New Roman"/>
          <w:color w:val="333333"/>
          <w:sz w:val="28"/>
          <w:szCs w:val="28"/>
          <w:highlight w:val="none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color w:val="333333"/>
          <w:sz w:val="28"/>
          <w:szCs w:val="28"/>
        </w:rPr>
        <w:t xml:space="preserve">_</w:t>
      </w:r>
      <w:r>
        <w:rPr>
          <w:rFonts w:ascii="Times New Roman" w:hAnsi="Times New Roman"/>
          <w:color w:val="333333"/>
          <w:sz w:val="28"/>
          <w:szCs w:val="28"/>
          <w:highlight w:val="none"/>
        </w:rPr>
      </w:r>
      <w:r>
        <w:rPr>
          <w:rFonts w:ascii="Times New Roman" w:hAnsi="Times New Roman"/>
          <w:color w:val="333333"/>
          <w:sz w:val="28"/>
          <w:szCs w:val="28"/>
          <w:highlight w:val="none"/>
        </w:rPr>
      </w:r>
    </w:p>
    <w:p>
      <w:pPr>
        <w:pStyle w:val="738"/>
        <w:pBdr/>
        <w:spacing/>
        <w:ind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highlight w:val="none"/>
        </w:rPr>
        <w:t xml:space="preserve">___________________________________________________________________</w:t>
      </w:r>
      <w:r>
        <w:rPr>
          <w:rFonts w:ascii="Times New Roman" w:hAnsi="Times New Roman"/>
          <w:color w:val="333333"/>
          <w:sz w:val="28"/>
          <w:szCs w:val="28"/>
        </w:rPr>
      </w:r>
      <w:r>
        <w:rPr>
          <w:rFonts w:ascii="Times New Roman" w:hAnsi="Times New Roman"/>
          <w:color w:val="333333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Підпис наймача 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 повнолітніх членів його сім’ї 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(За малолітніх та неповнолітніх членів сім’ї рішення про приватизацію приймають батьки (усиновлювачі) або опікуни. Згода на участь у приватизації дітей засвідчується їх підписами у заяві біля прізвища дитини.)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8"/>
        <w:pBdr/>
        <w:spacing/>
        <w:ind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___________________________________________________________________ 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738"/>
        <w:pBdr/>
        <w:spacing/>
        <w:ind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</w:r>
      <w:r>
        <w:rPr>
          <w:rFonts w:ascii="Times New Roman" w:hAnsi="Times New Roman"/>
          <w:color w:val="333333"/>
          <w:sz w:val="28"/>
          <w:szCs w:val="28"/>
        </w:rPr>
      </w:r>
      <w:r>
        <w:rPr>
          <w:rFonts w:ascii="Times New Roman" w:hAnsi="Times New Roman"/>
          <w:color w:val="333333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sz w:val="28"/>
          <w:szCs w:val="28"/>
        </w:rPr>
        <w:t xml:space="preserve">Начальник відділу ЖКГ, 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sz w:val="28"/>
          <w:szCs w:val="28"/>
        </w:rPr>
        <w:t xml:space="preserve">та комунального майна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Менської міської ради                                                              </w:t>
      </w:r>
      <w:r>
        <w:rPr>
          <w:rFonts w:ascii="Times New Roman" w:hAnsi="Times New Roman" w:eastAsia="Times New Roman"/>
          <w:sz w:val="28"/>
          <w:szCs w:val="28"/>
        </w:rPr>
        <w:t xml:space="preserve">Ірина ЄКИМЕНКО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pBdr/>
      <w:spacing/>
      <w:ind/>
      <w:jc w:val="right"/>
      <w:rPr>
        <w:rFonts w:ascii="Times New Roman" w:hAnsi="Times New Roman"/>
        <w:i/>
        <w:lang w:val="uk-UA"/>
      </w:rPr>
    </w:pPr>
    <w:r>
      <w:rPr>
        <w:rFonts w:ascii="Times New Roman" w:hAnsi="Times New Roman"/>
        <w:i/>
        <w:lang w:val="uk-UA"/>
      </w:rPr>
      <w:t xml:space="preserve">Продовження додатку</w:t>
    </w:r>
    <w:r>
      <w:rPr>
        <w:rFonts w:ascii="Times New Roman" w:hAnsi="Times New Roman"/>
        <w:i/>
        <w:lang w:val="uk-UA"/>
      </w:rPr>
    </w:r>
    <w:r>
      <w:rPr>
        <w:rFonts w:ascii="Times New Roman" w:hAnsi="Times New Roman"/>
        <w:i/>
        <w:lang w:val="uk-UA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5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6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8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9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Title Char"/>
    <w:basedOn w:val="716"/>
    <w:link w:val="73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01">
    <w:name w:val="Subtitle Char"/>
    <w:basedOn w:val="716"/>
    <w:link w:val="74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02">
    <w:name w:val="Quote Char"/>
    <w:basedOn w:val="716"/>
    <w:link w:val="74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03">
    <w:name w:val="Intense Emphasis"/>
    <w:basedOn w:val="71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4">
    <w:name w:val="Intense Quote Char"/>
    <w:basedOn w:val="716"/>
    <w:link w:val="74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05">
    <w:name w:val="Intense Reference"/>
    <w:basedOn w:val="71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6">
    <w:name w:val="Subtle Emphasis"/>
    <w:basedOn w:val="71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7">
    <w:name w:val="Emphasis"/>
    <w:basedOn w:val="716"/>
    <w:uiPriority w:val="20"/>
    <w:qFormat/>
    <w:pPr>
      <w:pBdr/>
      <w:spacing/>
      <w:ind/>
    </w:pPr>
    <w:rPr>
      <w:i/>
      <w:iCs/>
    </w:rPr>
  </w:style>
  <w:style w:type="character" w:styleId="708">
    <w:name w:val="Strong"/>
    <w:basedOn w:val="716"/>
    <w:uiPriority w:val="22"/>
    <w:qFormat/>
    <w:pPr>
      <w:pBdr/>
      <w:spacing/>
      <w:ind/>
    </w:pPr>
    <w:rPr>
      <w:b/>
      <w:bCs/>
    </w:rPr>
  </w:style>
  <w:style w:type="character" w:styleId="709">
    <w:name w:val="Subtle Reference"/>
    <w:basedOn w:val="71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0">
    <w:name w:val="Book Title"/>
    <w:basedOn w:val="71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1">
    <w:name w:val="Footnote Text Char"/>
    <w:basedOn w:val="716"/>
    <w:link w:val="880"/>
    <w:uiPriority w:val="99"/>
    <w:semiHidden/>
    <w:pPr>
      <w:pBdr/>
      <w:spacing/>
      <w:ind/>
    </w:pPr>
    <w:rPr>
      <w:sz w:val="20"/>
      <w:szCs w:val="20"/>
    </w:rPr>
  </w:style>
  <w:style w:type="character" w:styleId="712">
    <w:name w:val="Endnote Text Char"/>
    <w:basedOn w:val="716"/>
    <w:link w:val="883"/>
    <w:uiPriority w:val="99"/>
    <w:semiHidden/>
    <w:pPr>
      <w:pBdr/>
      <w:spacing/>
      <w:ind/>
    </w:pPr>
    <w:rPr>
      <w:sz w:val="20"/>
      <w:szCs w:val="20"/>
    </w:rPr>
  </w:style>
  <w:style w:type="character" w:styleId="713">
    <w:name w:val="FollowedHyperlink"/>
    <w:basedOn w:val="71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14">
    <w:name w:val="Placeholder Text"/>
    <w:basedOn w:val="716"/>
    <w:uiPriority w:val="99"/>
    <w:semiHidden/>
    <w:pPr>
      <w:pBdr/>
      <w:spacing/>
      <w:ind/>
    </w:pPr>
    <w:rPr>
      <w:color w:val="666666"/>
    </w:rPr>
  </w:style>
  <w:style w:type="paragraph" w:styleId="715" w:default="1">
    <w:name w:val="Normal"/>
    <w:qFormat/>
    <w:pPr>
      <w:pBdr/>
      <w:spacing/>
      <w:ind/>
    </w:pPr>
  </w:style>
  <w:style w:type="character" w:styleId="716" w:default="1">
    <w:name w:val="Default Paragraph Font"/>
    <w:uiPriority w:val="1"/>
    <w:semiHidden/>
    <w:unhideWhenUsed/>
    <w:pPr>
      <w:pBdr/>
      <w:spacing/>
      <w:ind/>
    </w:pPr>
  </w:style>
  <w:style w:type="table" w:styleId="717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8" w:default="1">
    <w:name w:val="No List"/>
    <w:uiPriority w:val="99"/>
    <w:semiHidden/>
    <w:unhideWhenUsed/>
    <w:pPr>
      <w:pBdr/>
      <w:spacing/>
      <w:ind/>
    </w:pPr>
  </w:style>
  <w:style w:type="paragraph" w:styleId="719" w:customStyle="1">
    <w:name w:val="Heading 1"/>
    <w:link w:val="72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20" w:customStyle="1">
    <w:name w:val="Heading 1 Char"/>
    <w:link w:val="71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21" w:customStyle="1">
    <w:name w:val="Heading 2"/>
    <w:link w:val="72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22" w:customStyle="1">
    <w:name w:val="Heading 2 Char"/>
    <w:link w:val="72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23" w:customStyle="1">
    <w:name w:val="Heading 3"/>
    <w:link w:val="72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24" w:customStyle="1">
    <w:name w:val="Heading 3 Char"/>
    <w:link w:val="72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25" w:customStyle="1">
    <w:name w:val="Heading 4"/>
    <w:link w:val="72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Heading 4 Char"/>
    <w:link w:val="72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7" w:customStyle="1">
    <w:name w:val="Heading 5"/>
    <w:link w:val="72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Heading 5 Char"/>
    <w:link w:val="72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9" w:customStyle="1">
    <w:name w:val="Heading 6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Heading 6 Char"/>
    <w:link w:val="72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1" w:customStyle="1">
    <w:name w:val="Heading 7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Heading 7 Char"/>
    <w:link w:val="73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3" w:customStyle="1">
    <w:name w:val="Heading 8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Heading 8 Char"/>
    <w:link w:val="73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5" w:customStyle="1">
    <w:name w:val="Heading 9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 w:customStyle="1">
    <w:name w:val="Heading 9 Char"/>
    <w:link w:val="73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uiPriority w:val="34"/>
    <w:qFormat/>
    <w:pPr>
      <w:pBdr/>
      <w:spacing/>
      <w:ind w:left="720"/>
      <w:contextualSpacing w:val="true"/>
    </w:pPr>
  </w:style>
  <w:style w:type="paragraph" w:styleId="738">
    <w:name w:val="No Spacing"/>
    <w:pPr>
      <w:pBdr/>
      <w:spacing/>
      <w:ind/>
    </w:pPr>
    <w:rPr>
      <w:rFonts w:eastAsia="Times New Roman"/>
      <w:sz w:val="22"/>
      <w:szCs w:val="22"/>
      <w:lang w:eastAsia="en-US"/>
    </w:rPr>
  </w:style>
  <w:style w:type="paragraph" w:styleId="739">
    <w:name w:val="Title"/>
    <w:link w:val="74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0" w:customStyle="1">
    <w:name w:val="Название Знак"/>
    <w:link w:val="739"/>
    <w:uiPriority w:val="10"/>
    <w:pPr>
      <w:pBdr/>
      <w:spacing/>
      <w:ind/>
    </w:pPr>
    <w:rPr>
      <w:sz w:val="48"/>
      <w:szCs w:val="48"/>
    </w:rPr>
  </w:style>
  <w:style w:type="paragraph" w:styleId="741">
    <w:name w:val="Subtitle"/>
    <w:link w:val="74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2" w:customStyle="1">
    <w:name w:val="Подзаголовок Знак"/>
    <w:link w:val="741"/>
    <w:uiPriority w:val="11"/>
    <w:pPr>
      <w:pBdr/>
      <w:spacing/>
      <w:ind/>
    </w:pPr>
    <w:rPr>
      <w:sz w:val="24"/>
      <w:szCs w:val="24"/>
    </w:rPr>
  </w:style>
  <w:style w:type="paragraph" w:styleId="743">
    <w:name w:val="Quote"/>
    <w:link w:val="744"/>
    <w:uiPriority w:val="29"/>
    <w:qFormat/>
    <w:pPr>
      <w:pBdr/>
      <w:spacing/>
      <w:ind w:right="720" w:left="720"/>
    </w:pPr>
    <w:rPr>
      <w:i/>
    </w:rPr>
  </w:style>
  <w:style w:type="character" w:styleId="744" w:customStyle="1">
    <w:name w:val="Цитата 2 Знак"/>
    <w:link w:val="743"/>
    <w:uiPriority w:val="29"/>
    <w:pPr>
      <w:pBdr/>
      <w:spacing/>
      <w:ind/>
    </w:pPr>
    <w:rPr>
      <w:i/>
    </w:rPr>
  </w:style>
  <w:style w:type="paragraph" w:styleId="745">
    <w:name w:val="Intense Quote"/>
    <w:link w:val="74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46" w:customStyle="1">
    <w:name w:val="Выделенная цитата Знак"/>
    <w:link w:val="745"/>
    <w:uiPriority w:val="30"/>
    <w:pPr>
      <w:pBdr/>
      <w:spacing/>
      <w:ind/>
    </w:pPr>
    <w:rPr>
      <w:i/>
    </w:rPr>
  </w:style>
  <w:style w:type="paragraph" w:styleId="747" w:customStyle="1">
    <w:name w:val="Header"/>
    <w:link w:val="74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48" w:customStyle="1">
    <w:name w:val="Header Char"/>
    <w:link w:val="747"/>
    <w:uiPriority w:val="99"/>
    <w:pPr>
      <w:pBdr/>
      <w:spacing/>
      <w:ind/>
    </w:pPr>
  </w:style>
  <w:style w:type="paragraph" w:styleId="749" w:customStyle="1">
    <w:name w:val="Footer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50" w:customStyle="1">
    <w:name w:val="Footer Char"/>
    <w:link w:val="749"/>
    <w:uiPriority w:val="99"/>
    <w:pPr>
      <w:pBdr/>
      <w:spacing/>
      <w:ind/>
    </w:pPr>
  </w:style>
  <w:style w:type="paragraph" w:styleId="751" w:customStyle="1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2" w:customStyle="1">
    <w:name w:val="Caption Char"/>
    <w:link w:val="749"/>
    <w:uiPriority w:val="99"/>
    <w:pPr>
      <w:pBdr/>
      <w:spacing/>
      <w:ind/>
    </w:pPr>
  </w:style>
  <w:style w:type="table" w:styleId="753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&amp; 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&amp; 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&amp; 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&amp; 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9">
    <w:name w:val="Hyperlink"/>
    <w:pPr>
      <w:pBdr/>
      <w:spacing/>
      <w:ind/>
    </w:pPr>
    <w:rPr>
      <w:color w:val="0000ff"/>
      <w:u w:val="single"/>
    </w:rPr>
  </w:style>
  <w:style w:type="paragraph" w:styleId="880">
    <w:name w:val="footnote text"/>
    <w:link w:val="881"/>
    <w:uiPriority w:val="99"/>
    <w:semiHidden/>
    <w:unhideWhenUsed/>
    <w:pPr>
      <w:pBdr/>
      <w:spacing w:after="40"/>
      <w:ind/>
    </w:pPr>
    <w:rPr>
      <w:sz w:val="18"/>
    </w:rPr>
  </w:style>
  <w:style w:type="character" w:styleId="881" w:customStyle="1">
    <w:name w:val="Текст сноски Знак"/>
    <w:link w:val="880"/>
    <w:uiPriority w:val="99"/>
    <w:pPr>
      <w:pBdr/>
      <w:spacing/>
      <w:ind/>
    </w:pPr>
    <w:rPr>
      <w:sz w:val="18"/>
    </w:rPr>
  </w:style>
  <w:style w:type="character" w:styleId="882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83">
    <w:name w:val="endnote text"/>
    <w:link w:val="884"/>
    <w:uiPriority w:val="99"/>
    <w:semiHidden/>
    <w:unhideWhenUsed/>
    <w:pPr>
      <w:pBdr/>
      <w:spacing/>
      <w:ind/>
    </w:pPr>
  </w:style>
  <w:style w:type="character" w:styleId="884" w:customStyle="1">
    <w:name w:val="Текст концевой сноски Знак"/>
    <w:link w:val="883"/>
    <w:uiPriority w:val="99"/>
    <w:pPr>
      <w:pBdr/>
      <w:spacing/>
      <w:ind/>
    </w:pPr>
    <w:rPr>
      <w:sz w:val="20"/>
    </w:rPr>
  </w:style>
  <w:style w:type="character" w:styleId="885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6">
    <w:name w:val="toc 1"/>
    <w:uiPriority w:val="39"/>
    <w:unhideWhenUsed/>
    <w:pPr>
      <w:pBdr/>
      <w:spacing w:after="57"/>
      <w:ind/>
    </w:pPr>
  </w:style>
  <w:style w:type="paragraph" w:styleId="887">
    <w:name w:val="toc 2"/>
    <w:uiPriority w:val="39"/>
    <w:unhideWhenUsed/>
    <w:pPr>
      <w:pBdr/>
      <w:spacing w:after="57"/>
      <w:ind w:left="283"/>
    </w:pPr>
  </w:style>
  <w:style w:type="paragraph" w:styleId="888">
    <w:name w:val="toc 3"/>
    <w:uiPriority w:val="39"/>
    <w:unhideWhenUsed/>
    <w:pPr>
      <w:pBdr/>
      <w:spacing w:after="57"/>
      <w:ind w:left="567"/>
    </w:pPr>
  </w:style>
  <w:style w:type="paragraph" w:styleId="889">
    <w:name w:val="toc 4"/>
    <w:uiPriority w:val="39"/>
    <w:unhideWhenUsed/>
    <w:pPr>
      <w:pBdr/>
      <w:spacing w:after="57"/>
      <w:ind w:left="850"/>
    </w:pPr>
  </w:style>
  <w:style w:type="paragraph" w:styleId="890">
    <w:name w:val="toc 5"/>
    <w:uiPriority w:val="39"/>
    <w:unhideWhenUsed/>
    <w:pPr>
      <w:pBdr/>
      <w:spacing w:after="57"/>
      <w:ind w:left="1134"/>
    </w:pPr>
  </w:style>
  <w:style w:type="paragraph" w:styleId="891">
    <w:name w:val="toc 6"/>
    <w:uiPriority w:val="39"/>
    <w:unhideWhenUsed/>
    <w:pPr>
      <w:pBdr/>
      <w:spacing w:after="57"/>
      <w:ind w:left="1417"/>
    </w:pPr>
  </w:style>
  <w:style w:type="paragraph" w:styleId="892">
    <w:name w:val="toc 7"/>
    <w:uiPriority w:val="39"/>
    <w:unhideWhenUsed/>
    <w:pPr>
      <w:pBdr/>
      <w:spacing w:after="57"/>
      <w:ind w:left="1701"/>
    </w:pPr>
  </w:style>
  <w:style w:type="paragraph" w:styleId="893">
    <w:name w:val="toc 8"/>
    <w:uiPriority w:val="39"/>
    <w:unhideWhenUsed/>
    <w:pPr>
      <w:pBdr/>
      <w:spacing w:after="57"/>
      <w:ind w:left="1984"/>
    </w:pPr>
  </w:style>
  <w:style w:type="paragraph" w:styleId="894">
    <w:name w:val="toc 9"/>
    <w:uiPriority w:val="39"/>
    <w:unhideWhenUsed/>
    <w:pPr>
      <w:pBdr/>
      <w:spacing w:after="57"/>
      <w:ind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>
    <w:name w:val="table of figures"/>
    <w:uiPriority w:val="99"/>
    <w:unhideWhenUsed/>
    <w:pPr>
      <w:pBdr/>
      <w:spacing/>
      <w:ind/>
    </w:pPr>
  </w:style>
  <w:style w:type="character" w:styleId="897" w:customStyle="1">
    <w:name w:val="Основной текст (3) + 14 pt;Не полужирный"/>
    <w:basedOn w:val="716"/>
    <w:pPr>
      <w:pBdr/>
      <w:spacing/>
      <w:ind/>
    </w:pPr>
    <w:rPr>
      <w:rFonts w:ascii="Times New Roman" w:hAnsi="Times New Roman" w:eastAsia="Times New Roman"/>
      <w:b/>
      <w:bCs/>
      <w:color w:val="000000"/>
      <w:spacing w:val="0"/>
      <w:position w:val="0"/>
      <w:sz w:val="28"/>
      <w:szCs w:val="28"/>
      <w:u w:val="none"/>
      <w:lang w:val="uk-UA" w:eastAsia="uk-UA" w:bidi="uk-UA"/>
    </w:rPr>
  </w:style>
  <w:style w:type="character" w:styleId="898" w:customStyle="1">
    <w:name w:val="Основной текст (2) + 11;5 pt"/>
    <w:basedOn w:val="716"/>
    <w:pPr>
      <w:pBdr/>
      <w:spacing/>
      <w:ind/>
    </w:pPr>
    <w:rPr>
      <w:rFonts w:ascii="Times New Roman" w:hAnsi="Times New Roman" w:eastAsia="Times New Roman"/>
      <w:color w:val="000000"/>
      <w:spacing w:val="0"/>
      <w:position w:val="0"/>
      <w:sz w:val="23"/>
      <w:szCs w:val="23"/>
      <w:u w:val="none"/>
      <w:lang w:val="uk-UA" w:eastAsia="uk-UA" w:bidi="uk-UA"/>
    </w:rPr>
  </w:style>
  <w:style w:type="character" w:styleId="899" w:customStyle="1">
    <w:name w:val="Колонтитул (2)"/>
    <w:basedOn w:val="716"/>
    <w:pPr>
      <w:pBdr/>
      <w:spacing/>
      <w:ind/>
    </w:pPr>
    <w:rPr>
      <w:rFonts w:ascii="Times New Roman" w:hAnsi="Times New Roman" w:eastAsia="Times New Roman"/>
      <w:color w:val="000000"/>
      <w:spacing w:val="0"/>
      <w:position w:val="0"/>
      <w:sz w:val="24"/>
      <w:szCs w:val="24"/>
      <w:u w:val="none"/>
      <w:lang w:val="uk-UA" w:eastAsia="uk-UA" w:bidi="uk-UA"/>
    </w:rPr>
  </w:style>
  <w:style w:type="character" w:styleId="900" w:customStyle="1">
    <w:name w:val="Основной текст (2)"/>
    <w:basedOn w:val="716"/>
    <w:pPr>
      <w:pBdr/>
      <w:spacing/>
      <w:ind/>
    </w:pPr>
    <w:rPr>
      <w:rFonts w:ascii="Times New Roman" w:hAnsi="Times New Roman" w:eastAsia="Times New Roman"/>
      <w:color w:val="000000"/>
      <w:spacing w:val="0"/>
      <w:position w:val="0"/>
      <w:sz w:val="28"/>
      <w:szCs w:val="28"/>
      <w:u w:val="none"/>
      <w:lang w:val="uk-UA" w:eastAsia="uk-UA" w:bidi="uk-UA"/>
    </w:rPr>
  </w:style>
  <w:style w:type="paragraph" w:styleId="901">
    <w:name w:val="Header"/>
    <w:basedOn w:val="715"/>
    <w:link w:val="902"/>
    <w:semiHidden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02" w:customStyle="1">
    <w:name w:val="Верхний колонтитул Знак"/>
    <w:basedOn w:val="716"/>
    <w:link w:val="901"/>
    <w:semiHidden/>
    <w:pPr>
      <w:pBdr/>
      <w:spacing/>
      <w:ind/>
    </w:pPr>
    <w:rPr>
      <w:rFonts w:eastAsia="Times New Roman"/>
      <w:sz w:val="22"/>
      <w:szCs w:val="22"/>
      <w:lang w:eastAsia="en-US"/>
    </w:rPr>
  </w:style>
  <w:style w:type="paragraph" w:styleId="903">
    <w:name w:val="Footer"/>
    <w:basedOn w:val="715"/>
    <w:link w:val="904"/>
    <w:semiHidden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04" w:customStyle="1">
    <w:name w:val="Нижний колонтитул Знак"/>
    <w:basedOn w:val="716"/>
    <w:link w:val="903"/>
    <w:semiHidden/>
    <w:pPr>
      <w:pBdr/>
      <w:spacing/>
      <w:ind/>
    </w:pPr>
    <w:rPr>
      <w:rFonts w:eastAsia="Times New Roman"/>
      <w:sz w:val="22"/>
      <w:szCs w:val="22"/>
      <w:lang w:eastAsia="en-US"/>
    </w:rPr>
  </w:style>
  <w:style w:type="paragraph" w:styleId="905" w:customStyle="1">
    <w:name w:val="Normal (Web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TIHorbach</dc:creator>
  <cp:lastModifiedBy>Єкименко Ірина Валеріївна</cp:lastModifiedBy>
  <cp:revision>31</cp:revision>
  <dcterms:created xsi:type="dcterms:W3CDTF">2026-05-05T13:19:00Z</dcterms:created>
  <dcterms:modified xsi:type="dcterms:W3CDTF">2026-06-19T12:21:49Z</dcterms:modified>
</cp:coreProperties>
</file>