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00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cs="Mangal"/>
          <w:b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1000"/>
        <w:pBdr/>
        <w:spacing/>
        <w:ind w:firstLine="567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02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02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02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0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ru-RU" w:eastAsia="hi-IN" w:bidi="hi-IN"/>
        </w:rPr>
      </w:pPr>
      <w:r>
        <w:rPr>
          <w:rFonts w:cs="Mangal"/>
          <w:color w:val="000000"/>
          <w:szCs w:val="28"/>
          <w:lang w:val="ru-RU" w:eastAsia="hi-IN" w:bidi="hi-IN"/>
        </w:rPr>
        <w:t xml:space="preserve">16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черв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</w:r>
      <w:r>
        <w:rPr>
          <w:rFonts w:cs="Mangal"/>
          <w:color w:val="000000"/>
          <w:szCs w:val="28"/>
          <w:lang w:eastAsia="hi-IN" w:bidi="hi-IN"/>
        </w:rPr>
        <w:t xml:space="preserve">№ </w:t>
      </w:r>
      <w:r>
        <w:rPr>
          <w:rFonts w:cs="Mangal"/>
          <w:color w:val="000000"/>
          <w:szCs w:val="28"/>
          <w:lang w:eastAsia="hi-IN" w:bidi="hi-IN"/>
        </w:rPr>
        <w:t xml:space="preserve">167</w:t>
      </w:r>
      <w:r>
        <w:rPr>
          <w:rFonts w:cs="Mangal"/>
          <w:color w:val="000000"/>
          <w:szCs w:val="28"/>
          <w:lang w:val="ru-RU" w:eastAsia="hi-IN" w:bidi="hi-IN"/>
        </w:rPr>
      </w:r>
      <w:r>
        <w:rPr>
          <w:rFonts w:cs="Mangal"/>
          <w:color w:val="000000"/>
          <w:szCs w:val="28"/>
          <w:lang w:val="ru-RU" w:eastAsia="hi-IN" w:bidi="hi-IN"/>
        </w:rPr>
      </w:r>
    </w:p>
    <w:p>
      <w:pPr>
        <w:pStyle w:val="80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2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2"/>
        <w:pBdr/>
        <w:spacing/>
        <w:ind/>
        <w:rPr/>
      </w:pPr>
      <w:r/>
      <w:r/>
    </w:p>
    <w:p>
      <w:pPr>
        <w:pStyle w:val="802"/>
        <w:pBdr/>
        <w:spacing/>
        <w:ind/>
        <w:rPr/>
      </w:pPr>
      <w:r>
        <w:t xml:space="preserve">Відповідно до положень Бюджетного кодексу України, ст. 42, 50 Зако</w:t>
      </w:r>
      <w:r>
        <w:t xml:space="preserve">ну України «Про місцев</w:t>
      </w:r>
      <w:r>
        <w:t xml:space="preserve">е самоврядування в Україні», рішення 68 сесі</w:t>
      </w:r>
      <w:r>
        <w:t xml:space="preserve">ї Менської міської ради 8 скликання від 18 грудня 2025 року № 755 «Про бюджет Менської міської територіальної громади на 2026 рік (код бюджету </w:t>
      </w:r>
      <w:r>
        <w:t xml:space="preserve">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</w:t>
      </w:r>
      <w:r>
        <w:t xml:space="preserve">юджетних коштів: </w:t>
      </w:r>
      <w:r/>
    </w:p>
    <w:p>
      <w:pPr>
        <w:pStyle w:val="802"/>
        <w:numPr>
          <w:ilvl w:val="0"/>
          <w:numId w:val="22"/>
        </w:numPr>
        <w:pBdr/>
        <w:spacing/>
        <w:ind w:firstLine="567" w:left="0"/>
        <w:rPr>
          <w:shd w:val="clear" w:color="auto" w:fill="ffffff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</w:t>
      </w:r>
      <w:r>
        <w:rPr>
          <w:szCs w:val="28"/>
        </w:rPr>
        <w:t xml:space="preserve">розпису</w:t>
      </w:r>
      <w:r>
        <w:rPr>
          <w:szCs w:val="28"/>
        </w:rPr>
        <w:t xml:space="preserve"> видатків загального фонду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 на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дійснення заходів із землеустрою</w:t>
      </w:r>
      <w:r>
        <w:t xml:space="preserve"> </w:t>
      </w:r>
      <w:r>
        <w:t xml:space="preserve">в части</w:t>
      </w:r>
      <w:r>
        <w:t xml:space="preserve">ні видатків на д</w:t>
      </w:r>
      <w:r>
        <w:rPr>
          <w:szCs w:val="28"/>
        </w:rPr>
        <w:t xml:space="preserve">ослідження і розр</w:t>
      </w:r>
      <w:r>
        <w:rPr>
          <w:szCs w:val="28"/>
        </w:rPr>
        <w:t xml:space="preserve">обк</w:t>
      </w:r>
      <w:r>
        <w:rPr>
          <w:szCs w:val="28"/>
        </w:rPr>
        <w:t xml:space="preserve">у</w:t>
      </w:r>
      <w:r>
        <w:rPr>
          <w:szCs w:val="28"/>
        </w:rPr>
        <w:t xml:space="preserve">, окрем</w:t>
      </w:r>
      <w:r>
        <w:rPr>
          <w:szCs w:val="28"/>
        </w:rPr>
        <w:t xml:space="preserve">их</w:t>
      </w:r>
      <w:r>
        <w:rPr>
          <w:szCs w:val="28"/>
        </w:rPr>
        <w:t xml:space="preserve"> заход</w:t>
      </w:r>
      <w:r>
        <w:rPr>
          <w:szCs w:val="28"/>
        </w:rPr>
        <w:t xml:space="preserve">ів</w:t>
      </w:r>
      <w:r>
        <w:rPr>
          <w:szCs w:val="28"/>
        </w:rPr>
        <w:t xml:space="preserve"> розвитку по реалізації державних (регіональних) програм</w:t>
      </w:r>
      <w:r>
        <w:rPr>
          <w:szCs w:val="28"/>
        </w:rPr>
        <w:t xml:space="preserve"> в сумі 199999,00 грн</w:t>
      </w:r>
      <w:r>
        <w:rPr>
          <w:szCs w:val="28"/>
        </w:rPr>
        <w:t xml:space="preserve">, </w:t>
      </w:r>
      <w:r>
        <w:rPr>
          <w:szCs w:val="28"/>
        </w:rPr>
        <w:t xml:space="preserve">а саме:</w:t>
      </w:r>
      <w:r>
        <w:rPr>
          <w:szCs w:val="28"/>
        </w:rPr>
        <w:t xml:space="preserve"> </w:t>
      </w:r>
      <w:r>
        <w:rPr>
          <w:shd w:val="clear" w:color="auto" w:fill="ffffff"/>
        </w:rPr>
        <w:t xml:space="preserve">зменши</w:t>
      </w:r>
      <w:r>
        <w:rPr>
          <w:shd w:val="clear" w:color="auto" w:fill="ffffff"/>
        </w:rPr>
        <w:t xml:space="preserve">вши </w:t>
      </w:r>
      <w:r>
        <w:rPr>
          <w:shd w:val="clear" w:color="auto" w:fill="ffffff"/>
        </w:rPr>
        <w:t xml:space="preserve">кошторисні призначення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в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липні</w:t>
      </w:r>
      <w:r>
        <w:rPr>
          <w:shd w:val="clear" w:color="auto" w:fill="ffffff"/>
        </w:rPr>
        <w:t xml:space="preserve"> місяці</w:t>
      </w:r>
      <w:r>
        <w:rPr>
          <w:shd w:val="clear" w:color="auto" w:fill="ffffff"/>
        </w:rPr>
        <w:t xml:space="preserve"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збільшити кошторисні призначення у </w:t>
      </w:r>
      <w:r>
        <w:rPr>
          <w:shd w:val="clear" w:color="auto" w:fill="ffffff"/>
        </w:rPr>
        <w:t xml:space="preserve">червні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місяці.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02"/>
        <w:pBdr/>
        <w:spacing/>
        <w:ind/>
        <w:rPr>
          <w:shd w:val="clear" w:color="auto" w:fill="ffffff"/>
        </w:rPr>
      </w:pPr>
      <w:r>
        <w:rPr>
          <w:shd w:val="clear" w:color="auto" w:fill="ffffff"/>
        </w:rPr>
        <w:t xml:space="preserve">(КПКВК</w:t>
      </w:r>
      <w:r>
        <w:rPr>
          <w:shd w:val="clear" w:color="auto" w:fill="ffffff"/>
        </w:rPr>
        <w:t xml:space="preserve">МБ</w:t>
      </w:r>
      <w:r>
        <w:rPr>
          <w:shd w:val="clear" w:color="auto" w:fill="ffffff"/>
        </w:rPr>
        <w:t xml:space="preserve"> 011</w:t>
      </w:r>
      <w:r>
        <w:rPr>
          <w:shd w:val="clear" w:color="auto" w:fill="ffffff"/>
        </w:rPr>
        <w:t xml:space="preserve">713</w:t>
      </w:r>
      <w:r>
        <w:rPr>
          <w:shd w:val="clear" w:color="auto" w:fill="ffffff"/>
        </w:rPr>
        <w:t xml:space="preserve">0 КЕКВ 2</w:t>
      </w:r>
      <w:r>
        <w:rPr>
          <w:shd w:val="clear" w:color="auto" w:fill="ffffff"/>
        </w:rPr>
        <w:t xml:space="preserve">281</w:t>
      </w:r>
      <w:r>
        <w:rPr>
          <w:shd w:val="clear" w:color="auto" w:fill="ffffff"/>
        </w:rPr>
        <w:t xml:space="preserve">)</w:t>
      </w:r>
      <w:r>
        <w:rPr>
          <w:shd w:val="clear" w:color="auto" w:fill="ffffff"/>
        </w:rPr>
        <w:t xml:space="preserve">.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02"/>
        <w:numPr>
          <w:ilvl w:val="0"/>
          <w:numId w:val="22"/>
        </w:numPr>
        <w:pBdr/>
        <w:spacing/>
        <w:ind w:firstLine="567" w:left="0"/>
        <w:rPr/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</w:t>
      </w:r>
      <w:r>
        <w:rPr>
          <w:szCs w:val="28"/>
        </w:rPr>
        <w:t xml:space="preserve">розпису</w:t>
      </w:r>
      <w:r>
        <w:rPr>
          <w:szCs w:val="28"/>
        </w:rPr>
        <w:t xml:space="preserve"> видатків загального фонду</w:t>
      </w:r>
      <w:r>
        <w:rPr>
          <w:szCs w:val="28"/>
        </w:rPr>
        <w:t xml:space="preserve"> </w:t>
      </w:r>
      <w:r>
        <w:rPr>
          <w:szCs w:val="28"/>
        </w:rPr>
        <w:t xml:space="preserve">Відділу </w:t>
      </w:r>
      <w:r>
        <w:rPr>
          <w:szCs w:val="28"/>
        </w:rPr>
        <w:t xml:space="preserve">культури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в част</w:t>
      </w:r>
      <w:r>
        <w:rPr>
          <w:szCs w:val="28"/>
        </w:rPr>
        <w:t xml:space="preserve">ин</w:t>
      </w:r>
      <w:r>
        <w:rPr>
          <w:szCs w:val="28"/>
        </w:rPr>
        <w:t xml:space="preserve">і вид</w:t>
      </w:r>
      <w:r>
        <w:rPr>
          <w:szCs w:val="28"/>
        </w:rPr>
        <w:t xml:space="preserve">атків</w:t>
      </w:r>
      <w:r>
        <w:rPr>
          <w:szCs w:val="28"/>
        </w:rPr>
        <w:t xml:space="preserve"> на оплату електроенергії</w:t>
      </w:r>
      <w:r>
        <w:rPr>
          <w:szCs w:val="28"/>
        </w:rPr>
        <w:t xml:space="preserve">, а саме:</w:t>
      </w:r>
      <w:r/>
    </w:p>
    <w:p>
      <w:pPr>
        <w:pStyle w:val="802"/>
        <w:pBdr/>
        <w:spacing/>
        <w:ind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по апар</w:t>
      </w:r>
      <w:r>
        <w:rPr>
          <w:szCs w:val="28"/>
        </w:rPr>
        <w:t xml:space="preserve">ату управління:</w:t>
      </w:r>
      <w:r>
        <w:rPr>
          <w:szCs w:val="28"/>
        </w:rPr>
        <w:t xml:space="preserve"> зменшивши </w:t>
      </w:r>
      <w:r>
        <w:rPr>
          <w:szCs w:val="28"/>
        </w:rPr>
        <w:t xml:space="preserve">призначення в </w:t>
      </w:r>
      <w:r>
        <w:rPr>
          <w:szCs w:val="28"/>
        </w:rPr>
        <w:t xml:space="preserve">листопаді та </w:t>
      </w:r>
      <w:r>
        <w:rPr>
          <w:szCs w:val="28"/>
        </w:rPr>
        <w:t xml:space="preserve">грудні по </w:t>
      </w:r>
      <w:r>
        <w:rPr>
          <w:szCs w:val="28"/>
        </w:rPr>
        <w:t xml:space="preserve">4</w:t>
      </w:r>
      <w:r>
        <w:rPr>
          <w:szCs w:val="28"/>
        </w:rPr>
        <w:t xml:space="preserve">00,00 грн, збільшити </w:t>
      </w:r>
      <w:r>
        <w:rPr>
          <w:szCs w:val="28"/>
        </w:rPr>
        <w:t xml:space="preserve">видаткову частину</w:t>
      </w:r>
      <w:r>
        <w:rPr>
          <w:szCs w:val="28"/>
        </w:rPr>
        <w:t xml:space="preserve"> в червні </w:t>
      </w:r>
      <w:r>
        <w:rPr>
          <w:szCs w:val="28"/>
        </w:rPr>
        <w:t xml:space="preserve">на</w:t>
      </w:r>
      <w:r>
        <w:rPr>
          <w:szCs w:val="28"/>
        </w:rPr>
        <w:t xml:space="preserve"> сум</w:t>
      </w:r>
      <w:r>
        <w:rPr>
          <w:szCs w:val="28"/>
        </w:rPr>
        <w:t xml:space="preserve">у</w:t>
      </w:r>
      <w:r>
        <w:rPr>
          <w:szCs w:val="28"/>
        </w:rPr>
        <w:t xml:space="preserve"> </w:t>
      </w:r>
      <w:r>
        <w:rPr>
          <w:szCs w:val="28"/>
        </w:rPr>
        <w:t xml:space="preserve">8</w:t>
      </w:r>
      <w:r>
        <w:rPr>
          <w:szCs w:val="28"/>
        </w:rPr>
        <w:t xml:space="preserve">00,00 грн.</w:t>
      </w:r>
      <w:r>
        <w:rPr>
          <w:szCs w:val="28"/>
        </w:rPr>
      </w:r>
      <w:r>
        <w:rPr>
          <w:szCs w:val="28"/>
        </w:rPr>
      </w:r>
    </w:p>
    <w:p>
      <w:pPr>
        <w:pStyle w:val="802"/>
        <w:pBdr/>
        <w:spacing/>
        <w:ind/>
        <w:rPr/>
      </w:pPr>
      <w:r>
        <w:rPr>
          <w:szCs w:val="28"/>
        </w:rPr>
        <w:t xml:space="preserve">(КПКВКМБ 1011</w:t>
      </w:r>
      <w:r>
        <w:rPr>
          <w:szCs w:val="28"/>
        </w:rPr>
        <w:t xml:space="preserve">60</w:t>
      </w:r>
      <w:r>
        <w:rPr>
          <w:szCs w:val="28"/>
        </w:rPr>
        <w:t xml:space="preserve"> КЕКВ 2273);</w:t>
      </w:r>
      <w:r/>
    </w:p>
    <w:p>
      <w:pPr>
        <w:pStyle w:val="802"/>
        <w:pBdr/>
        <w:spacing/>
        <w:ind/>
        <w:rPr/>
      </w:pPr>
      <w:r>
        <w:rPr>
          <w:szCs w:val="28"/>
        </w:rPr>
        <w:t xml:space="preserve">-</w:t>
      </w:r>
      <w:r>
        <w:rPr>
          <w:szCs w:val="28"/>
        </w:rPr>
        <w:t xml:space="preserve"> </w:t>
      </w:r>
      <w:r>
        <w:rPr>
          <w:szCs w:val="28"/>
        </w:rPr>
        <w:t xml:space="preserve">на н</w:t>
      </w:r>
      <w:r>
        <w:rPr>
          <w:szCs w:val="28"/>
        </w:rPr>
        <w:t xml:space="preserve">адання спеціалізованої освіти мистецькими школами</w:t>
      </w:r>
      <w:r>
        <w:rPr>
          <w:szCs w:val="28"/>
        </w:rPr>
        <w:t xml:space="preserve">: зменши</w:t>
      </w:r>
      <w:r>
        <w:rPr>
          <w:szCs w:val="28"/>
        </w:rPr>
        <w:t xml:space="preserve">вши</w:t>
      </w:r>
      <w:r>
        <w:rPr>
          <w:szCs w:val="28"/>
        </w:rPr>
        <w:t xml:space="preserve"> </w:t>
      </w:r>
      <w:r>
        <w:rPr>
          <w:szCs w:val="28"/>
        </w:rPr>
        <w:t xml:space="preserve">призначення в жовтні-грудні по 500,00 грн, збільши</w:t>
      </w:r>
      <w:r>
        <w:rPr>
          <w:szCs w:val="28"/>
        </w:rPr>
        <w:t xml:space="preserve">ти</w:t>
      </w:r>
      <w:r>
        <w:rPr>
          <w:szCs w:val="28"/>
        </w:rPr>
        <w:t xml:space="preserve"> </w:t>
      </w:r>
      <w:r>
        <w:rPr>
          <w:szCs w:val="28"/>
        </w:rPr>
        <w:t xml:space="preserve">видаткову частину</w:t>
      </w:r>
      <w:r>
        <w:rPr>
          <w:szCs w:val="28"/>
        </w:rPr>
        <w:t xml:space="preserve"> в червні </w:t>
      </w:r>
      <w:r>
        <w:rPr>
          <w:szCs w:val="28"/>
        </w:rPr>
        <w:t xml:space="preserve">в сумі 1500,00 грн.</w:t>
      </w:r>
      <w:r/>
    </w:p>
    <w:p>
      <w:pPr>
        <w:pStyle w:val="802"/>
        <w:pBdr/>
        <w:spacing/>
        <w:ind/>
        <w:rPr>
          <w:szCs w:val="28"/>
        </w:rPr>
      </w:pPr>
      <w:r>
        <w:rPr>
          <w:szCs w:val="28"/>
        </w:rPr>
        <w:t xml:space="preserve">(КПКВКМБ</w:t>
      </w:r>
      <w:r>
        <w:rPr>
          <w:szCs w:val="28"/>
        </w:rPr>
        <w:t xml:space="preserve"> 1011080 КЕКВ 2273)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802"/>
        <w:numPr>
          <w:ilvl w:val="0"/>
          <w:numId w:val="25"/>
        </w:numPr>
        <w:pBdr/>
        <w:spacing/>
        <w:ind w:firstLine="567" w:left="0"/>
        <w:rPr>
          <w:szCs w:val="28"/>
        </w:rPr>
      </w:pPr>
      <w:r>
        <w:rPr>
          <w:szCs w:val="28"/>
        </w:rPr>
        <w:t xml:space="preserve">н</w:t>
      </w:r>
      <w:r>
        <w:rPr>
          <w:szCs w:val="28"/>
        </w:rPr>
        <w:t xml:space="preserve">а </w:t>
      </w:r>
      <w:r>
        <w:rPr>
          <w:szCs w:val="28"/>
        </w:rPr>
        <w:t xml:space="preserve">з</w:t>
      </w:r>
      <w:r>
        <w:rPr>
          <w:szCs w:val="28"/>
        </w:rPr>
        <w:t xml:space="preserve">абезпечення </w:t>
      </w:r>
      <w:r>
        <w:rPr>
          <w:szCs w:val="28"/>
        </w:rPr>
        <w:t xml:space="preserve">діяльності</w:t>
      </w:r>
      <w:r>
        <w:rPr>
          <w:szCs w:val="28"/>
        </w:rPr>
        <w:t xml:space="preserve"> палаців і будинків культури, клубів, центрів дозвілля та інших клубних закладів</w:t>
      </w:r>
      <w:r>
        <w:rPr>
          <w:szCs w:val="28"/>
        </w:rPr>
        <w:t xml:space="preserve">:</w:t>
      </w:r>
      <w:r>
        <w:t xml:space="preserve"> </w:t>
      </w:r>
      <w:bookmarkStart w:id="0" w:name="_Hlk232501516"/>
      <w:r>
        <w:rPr>
          <w:szCs w:val="28"/>
        </w:rPr>
        <w:t xml:space="preserve">зменшивши </w:t>
      </w:r>
      <w:r>
        <w:rPr>
          <w:szCs w:val="28"/>
        </w:rPr>
        <w:t xml:space="preserve">призначення</w:t>
      </w:r>
      <w:bookmarkEnd w:id="0"/>
      <w:r>
        <w:rPr>
          <w:szCs w:val="28"/>
        </w:rPr>
        <w:t xml:space="preserve"> в </w:t>
      </w:r>
      <w:r>
        <w:rPr>
          <w:szCs w:val="28"/>
        </w:rPr>
        <w:t xml:space="preserve">серпні місяці в сумі 30000,00 грн, в вересні в сумі 50000,</w:t>
      </w:r>
      <w:r>
        <w:rPr>
          <w:szCs w:val="28"/>
        </w:rPr>
        <w:t xml:space="preserve">00 грн, в </w:t>
      </w:r>
      <w:r>
        <w:rPr>
          <w:szCs w:val="28"/>
        </w:rPr>
        <w:t xml:space="preserve">жовтні</w:t>
      </w:r>
      <w:r>
        <w:rPr>
          <w:szCs w:val="28"/>
        </w:rPr>
        <w:t xml:space="preserve"> в сумі</w:t>
      </w:r>
      <w:r>
        <w:rPr>
          <w:szCs w:val="28"/>
        </w:rPr>
        <w:t xml:space="preserve"> </w:t>
      </w:r>
      <w:r>
        <w:rPr>
          <w:szCs w:val="28"/>
        </w:rPr>
        <w:t xml:space="preserve">17000</w:t>
      </w:r>
      <w:r>
        <w:rPr>
          <w:szCs w:val="28"/>
        </w:rPr>
        <w:t xml:space="preserve">,00 грн, збільшити </w:t>
      </w:r>
      <w:r>
        <w:rPr>
          <w:szCs w:val="28"/>
        </w:rPr>
        <w:t xml:space="preserve">видаткову частину</w:t>
      </w:r>
      <w:r>
        <w:rPr>
          <w:szCs w:val="28"/>
        </w:rPr>
        <w:t xml:space="preserve"> в червні в сумі </w:t>
      </w:r>
      <w:r>
        <w:rPr>
          <w:szCs w:val="28"/>
        </w:rPr>
        <w:t xml:space="preserve">970</w:t>
      </w:r>
      <w:r>
        <w:rPr>
          <w:szCs w:val="28"/>
        </w:rPr>
        <w:t xml:space="preserve">00,00 грн.</w:t>
      </w:r>
      <w:r>
        <w:rPr>
          <w:szCs w:val="28"/>
        </w:rPr>
      </w:r>
      <w:r>
        <w:rPr>
          <w:szCs w:val="28"/>
        </w:rPr>
      </w:r>
    </w:p>
    <w:p>
      <w:pPr>
        <w:pStyle w:val="802"/>
        <w:pBdr/>
        <w:spacing/>
        <w:ind/>
        <w:rPr/>
      </w:pPr>
      <w:r>
        <w:rPr>
          <w:szCs w:val="28"/>
        </w:rPr>
        <w:t xml:space="preserve">(КПКВКМБ 101</w:t>
      </w:r>
      <w:r>
        <w:rPr>
          <w:szCs w:val="28"/>
        </w:rPr>
        <w:t xml:space="preserve">4060</w:t>
      </w:r>
      <w:r>
        <w:rPr>
          <w:szCs w:val="28"/>
        </w:rPr>
        <w:t xml:space="preserve"> КЕКВ 2273)</w:t>
      </w:r>
      <w:r>
        <w:rPr>
          <w:szCs w:val="28"/>
        </w:rPr>
        <w:t xml:space="preserve">.</w:t>
      </w:r>
      <w:r/>
    </w:p>
    <w:p>
      <w:pPr>
        <w:pStyle w:val="802"/>
        <w:numPr>
          <w:ilvl w:val="0"/>
          <w:numId w:val="22"/>
        </w:numPr>
        <w:pBdr/>
        <w:tabs>
          <w:tab w:val="clear" w:leader="none" w:pos="1134"/>
        </w:tabs>
        <w:spacing/>
        <w:ind w:firstLine="567" w:left="0"/>
        <w:rPr/>
      </w:pPr>
      <w:r>
        <w:t xml:space="preserve">Внести зміни до </w:t>
      </w:r>
      <w:r>
        <w:t xml:space="preserve">видатків загального фонду Відділу культури Менської міської ради</w:t>
      </w:r>
      <w:r>
        <w:t xml:space="preserve"> </w:t>
      </w:r>
      <w:r>
        <w:t xml:space="preserve">на з</w:t>
      </w:r>
      <w:r>
        <w:t xml:space="preserve">абезпечення діяльності бібліотек</w:t>
      </w:r>
      <w:r>
        <w:t xml:space="preserve"> для оплати періодичних видань в сумі 2300,00 грн</w:t>
      </w:r>
      <w:r>
        <w:t xml:space="preserve">, а саме: </w:t>
      </w:r>
      <w:r>
        <w:t xml:space="preserve">зменшивши </w:t>
      </w:r>
      <w:r>
        <w:t xml:space="preserve">видаткову частину</w:t>
      </w:r>
      <w:r>
        <w:t xml:space="preserve"> на п</w:t>
      </w:r>
      <w:r>
        <w:t xml:space="preserve">редмети, матеріали, обладнання та інвентар</w:t>
      </w:r>
      <w:r>
        <w:t xml:space="preserve">, збільшити в</w:t>
      </w:r>
      <w:r>
        <w:t xml:space="preserve">идатки на п</w:t>
      </w:r>
      <w:r>
        <w:t xml:space="preserve">ридбання обладнання і предметів довгострокового користування</w:t>
      </w:r>
      <w:r/>
    </w:p>
    <w:p>
      <w:pPr>
        <w:pStyle w:val="802"/>
        <w:pBdr/>
        <w:tabs>
          <w:tab w:val="clear" w:leader="none" w:pos="1134"/>
        </w:tabs>
        <w:spacing/>
        <w:ind/>
        <w:rPr/>
      </w:pPr>
      <w:r>
        <w:t xml:space="preserve">(КПКВКМБ 1014030 КЕКВ 2210-2300,00 грн, КЕКВ 3110+2300,00 гр</w:t>
      </w:r>
      <w:r>
        <w:t xml:space="preserve">н</w:t>
      </w:r>
      <w:r>
        <w:t xml:space="preserve">).</w:t>
      </w:r>
      <w:r/>
    </w:p>
    <w:p>
      <w:pPr>
        <w:pStyle w:val="802"/>
        <w:numPr>
          <w:ilvl w:val="0"/>
          <w:numId w:val="22"/>
        </w:numPr>
        <w:pBdr/>
        <w:spacing/>
        <w:ind w:firstLine="567" w:left="0"/>
        <w:rPr/>
      </w:pPr>
      <w:r>
        <w:rPr>
          <w:szCs w:val="28"/>
        </w:rPr>
        <w:t xml:space="preserve">Змінити цільове використання</w:t>
      </w:r>
      <w:r>
        <w:rPr>
          <w:szCs w:val="28"/>
        </w:rPr>
        <w:t xml:space="preserve"> </w:t>
      </w:r>
      <w:r>
        <w:rPr>
          <w:szCs w:val="28"/>
        </w:rPr>
        <w:t xml:space="preserve">коштів </w:t>
      </w:r>
      <w:r>
        <w:rPr>
          <w:szCs w:val="28"/>
        </w:rPr>
        <w:t xml:space="preserve">загального фонду </w:t>
      </w:r>
      <w:r>
        <w:rPr>
          <w:szCs w:val="28"/>
        </w:rPr>
        <w:t xml:space="preserve">Відділу </w:t>
      </w:r>
      <w:r>
        <w:rPr>
          <w:szCs w:val="28"/>
        </w:rPr>
        <w:t xml:space="preserve">культури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на н</w:t>
      </w:r>
      <w:r>
        <w:rPr>
          <w:szCs w:val="28"/>
        </w:rPr>
        <w:t xml:space="preserve">адання спеціалізованої освіти мистецькими школами</w:t>
      </w:r>
      <w:r>
        <w:rPr>
          <w:szCs w:val="28"/>
        </w:rPr>
        <w:t xml:space="preserve"> в част</w:t>
      </w:r>
      <w:r>
        <w:rPr>
          <w:szCs w:val="28"/>
        </w:rPr>
        <w:t xml:space="preserve">ині вид</w:t>
      </w:r>
      <w:r>
        <w:rPr>
          <w:szCs w:val="28"/>
        </w:rPr>
        <w:t xml:space="preserve">атків </w:t>
      </w:r>
      <w:r>
        <w:rPr>
          <w:szCs w:val="28"/>
        </w:rPr>
        <w:t xml:space="preserve">на інші поточні видатки</w:t>
      </w:r>
      <w:r>
        <w:rPr>
          <w:szCs w:val="28"/>
        </w:rPr>
        <w:t xml:space="preserve"> </w:t>
      </w:r>
      <w:r>
        <w:rPr>
          <w:szCs w:val="28"/>
        </w:rPr>
        <w:t xml:space="preserve">в сумі 44200,00 грн перенаправивши </w:t>
      </w:r>
      <w:r>
        <w:rPr>
          <w:szCs w:val="28"/>
        </w:rPr>
        <w:t xml:space="preserve">зеконом</w:t>
      </w:r>
      <w:r>
        <w:rPr>
          <w:szCs w:val="28"/>
        </w:rPr>
        <w:t xml:space="preserve">лені </w:t>
      </w:r>
      <w:r>
        <w:rPr>
          <w:szCs w:val="28"/>
        </w:rPr>
        <w:t xml:space="preserve">кошти</w:t>
      </w:r>
      <w:r>
        <w:rPr>
          <w:szCs w:val="28"/>
        </w:rPr>
        <w:t xml:space="preserve"> по Програмі виконання рішень суд</w:t>
      </w:r>
      <w:r>
        <w:rPr>
          <w:szCs w:val="28"/>
        </w:rPr>
        <w:t xml:space="preserve">у про стягнення коштів на 2026-2027 </w:t>
      </w:r>
      <w:r>
        <w:rPr>
          <w:szCs w:val="28"/>
        </w:rPr>
        <w:t xml:space="preserve">на сплату внеску на працевлаштування осіб з інвалідністю.</w:t>
      </w:r>
      <w:r/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</w:t>
      </w:r>
      <w:r>
        <w:rPr>
          <w:szCs w:val="28"/>
        </w:rPr>
        <w:t xml:space="preserve">МБ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110</w:t>
      </w:r>
      <w:r>
        <w:rPr>
          <w:szCs w:val="28"/>
        </w:rPr>
        <w:t xml:space="preserve">8</w:t>
      </w:r>
      <w:r>
        <w:rPr>
          <w:szCs w:val="28"/>
        </w:rPr>
        <w:t xml:space="preserve">0 КЕКВ 2</w:t>
      </w:r>
      <w:r>
        <w:rPr>
          <w:szCs w:val="28"/>
        </w:rPr>
        <w:t xml:space="preserve">80</w:t>
      </w:r>
      <w:r>
        <w:rPr>
          <w:szCs w:val="28"/>
        </w:rPr>
        <w:t xml:space="preserve">0)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99"/>
        <w:numPr>
          <w:ilvl w:val="0"/>
          <w:numId w:val="22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</w:t>
      </w:r>
      <w:r>
        <w:rPr>
          <w:color w:val="000000"/>
          <w:szCs w:val="28"/>
        </w:rPr>
        <w:t xml:space="preserve">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999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0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0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5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405" w:left="972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20"/>
  </w:num>
  <w:num w:numId="6">
    <w:abstractNumId w:val="2"/>
  </w:num>
  <w:num w:numId="7">
    <w:abstractNumId w:val="16"/>
  </w:num>
  <w:num w:numId="8">
    <w:abstractNumId w:val="14"/>
  </w:num>
  <w:num w:numId="9">
    <w:abstractNumId w:val="9"/>
  </w:num>
  <w:num w:numId="10">
    <w:abstractNumId w:val="4"/>
  </w:num>
  <w:num w:numId="11">
    <w:abstractNumId w:val="7"/>
  </w:num>
  <w:num w:numId="12">
    <w:abstractNumId w:val="5"/>
  </w:num>
  <w:num w:numId="13">
    <w:abstractNumId w:val="21"/>
  </w:num>
  <w:num w:numId="14">
    <w:abstractNumId w:val="22"/>
  </w:num>
  <w:num w:numId="15">
    <w:abstractNumId w:val="18"/>
  </w:num>
  <w:num w:numId="16">
    <w:abstractNumId w:val="24"/>
  </w:num>
  <w:num w:numId="17">
    <w:abstractNumId w:val="1"/>
  </w:num>
  <w:num w:numId="18">
    <w:abstractNumId w:val="6"/>
  </w:num>
  <w:num w:numId="19">
    <w:abstractNumId w:val="0"/>
  </w:num>
  <w:num w:numId="20">
    <w:abstractNumId w:val="15"/>
  </w:num>
  <w:num w:numId="21">
    <w:abstractNumId w:val="17"/>
  </w:num>
  <w:num w:numId="22">
    <w:abstractNumId w:val="3"/>
  </w:num>
  <w:num w:numId="23">
    <w:abstractNumId w:val="23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Table Grid"/>
    <w:basedOn w:val="76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7">
    <w:name w:val="Heading 1"/>
    <w:basedOn w:val="802"/>
    <w:next w:val="802"/>
    <w:link w:val="86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8">
    <w:name w:val="Heading 2"/>
    <w:basedOn w:val="802"/>
    <w:next w:val="802"/>
    <w:link w:val="86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9">
    <w:name w:val="Heading 3"/>
    <w:basedOn w:val="802"/>
    <w:next w:val="802"/>
    <w:link w:val="86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70">
    <w:name w:val="Heading 4"/>
    <w:basedOn w:val="802"/>
    <w:next w:val="802"/>
    <w:link w:val="86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1">
    <w:name w:val="Heading 5"/>
    <w:basedOn w:val="802"/>
    <w:next w:val="802"/>
    <w:link w:val="86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2">
    <w:name w:val="Heading 6"/>
    <w:basedOn w:val="802"/>
    <w:next w:val="802"/>
    <w:link w:val="87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3">
    <w:name w:val="Heading 7"/>
    <w:basedOn w:val="802"/>
    <w:next w:val="802"/>
    <w:link w:val="87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4">
    <w:name w:val="Heading 8"/>
    <w:basedOn w:val="802"/>
    <w:next w:val="802"/>
    <w:link w:val="87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5">
    <w:name w:val="Heading 9"/>
    <w:basedOn w:val="802"/>
    <w:next w:val="802"/>
    <w:link w:val="87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Title"/>
    <w:basedOn w:val="802"/>
    <w:next w:val="802"/>
    <w:link w:val="87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9">
    <w:name w:val="Subtitle"/>
    <w:basedOn w:val="802"/>
    <w:next w:val="802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80">
    <w:name w:val="Quote"/>
    <w:basedOn w:val="802"/>
    <w:next w:val="802"/>
    <w:link w:val="87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8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82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83">
    <w:name w:val="Intense Quote"/>
    <w:basedOn w:val="802"/>
    <w:next w:val="802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84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8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86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7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88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89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0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1">
    <w:name w:val="Header"/>
    <w:basedOn w:val="802"/>
    <w:link w:val="8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2">
    <w:name w:val="Footer"/>
    <w:basedOn w:val="802"/>
    <w:link w:val="8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4">
    <w:name w:val="footnote text"/>
    <w:basedOn w:val="802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5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796">
    <w:name w:val="endnote text"/>
    <w:basedOn w:val="802"/>
    <w:link w:val="9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7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798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9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03">
    <w:name w:val="Заголовок 1"/>
    <w:basedOn w:val="802"/>
    <w:next w:val="802"/>
    <w:link w:val="99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04">
    <w:name w:val="Заголовок 2"/>
    <w:basedOn w:val="802"/>
    <w:next w:val="802"/>
    <w:link w:val="99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05">
    <w:name w:val="Заголовок 3"/>
    <w:basedOn w:val="802"/>
    <w:next w:val="802"/>
    <w:link w:val="99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06">
    <w:name w:val="Заголовок 4"/>
    <w:basedOn w:val="802"/>
    <w:next w:val="802"/>
    <w:link w:val="99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07">
    <w:name w:val="Заголовок 5"/>
    <w:basedOn w:val="802"/>
    <w:next w:val="802"/>
    <w:link w:val="99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8">
    <w:name w:val="Заголовок 6"/>
    <w:basedOn w:val="802"/>
    <w:next w:val="802"/>
    <w:link w:val="99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9">
    <w:name w:val="Заголовок 7"/>
    <w:basedOn w:val="802"/>
    <w:next w:val="802"/>
    <w:link w:val="9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10">
    <w:name w:val="Заголовок 8"/>
    <w:basedOn w:val="802"/>
    <w:next w:val="802"/>
    <w:link w:val="99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11">
    <w:name w:val="Заголовок 9"/>
    <w:basedOn w:val="802"/>
    <w:next w:val="802"/>
    <w:link w:val="99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2">
    <w:name w:val="Шрифт абзацу за замовчуванням"/>
    <w:next w:val="812"/>
    <w:link w:val="802"/>
    <w:uiPriority w:val="1"/>
    <w:semiHidden/>
    <w:unhideWhenUsed/>
    <w:pPr>
      <w:pBdr/>
      <w:spacing/>
      <w:ind/>
    </w:pPr>
  </w:style>
  <w:style w:type="table" w:styleId="813">
    <w:name w:val="Звичайна таблиця"/>
    <w:next w:val="813"/>
    <w:link w:val="802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4">
    <w:name w:val="Немає списку"/>
    <w:next w:val="814"/>
    <w:link w:val="802"/>
    <w:uiPriority w:val="99"/>
    <w:semiHidden/>
    <w:unhideWhenUsed/>
    <w:pPr>
      <w:pBdr/>
      <w:spacing/>
      <w:ind/>
    </w:pPr>
  </w:style>
  <w:style w:type="table" w:styleId="815">
    <w:name w:val="Plain Table 1"/>
    <w:basedOn w:val="813"/>
    <w:next w:val="815"/>
    <w:link w:val="80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2"/>
    <w:basedOn w:val="813"/>
    <w:next w:val="816"/>
    <w:link w:val="802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3"/>
    <w:basedOn w:val="813"/>
    <w:next w:val="817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4"/>
    <w:basedOn w:val="813"/>
    <w:next w:val="818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5"/>
    <w:basedOn w:val="813"/>
    <w:next w:val="819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"/>
    <w:basedOn w:val="813"/>
    <w:next w:val="820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"/>
    <w:basedOn w:val="813"/>
    <w:next w:val="821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"/>
    <w:basedOn w:val="813"/>
    <w:next w:val="822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basedOn w:val="813"/>
    <w:next w:val="823"/>
    <w:link w:val="802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"/>
    <w:basedOn w:val="813"/>
    <w:next w:val="824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basedOn w:val="813"/>
    <w:next w:val="825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7 Colorful"/>
    <w:basedOn w:val="813"/>
    <w:next w:val="826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"/>
    <w:basedOn w:val="813"/>
    <w:next w:val="827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"/>
    <w:basedOn w:val="813"/>
    <w:next w:val="828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"/>
    <w:basedOn w:val="813"/>
    <w:next w:val="829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basedOn w:val="813"/>
    <w:next w:val="830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"/>
    <w:basedOn w:val="813"/>
    <w:next w:val="831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"/>
    <w:basedOn w:val="813"/>
    <w:next w:val="832"/>
    <w:link w:val="802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"/>
    <w:basedOn w:val="813"/>
    <w:next w:val="833"/>
    <w:link w:val="802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4">
    <w:name w:val="Сильне виокремлення"/>
    <w:next w:val="834"/>
    <w:link w:val="802"/>
    <w:uiPriority w:val="21"/>
    <w:qFormat/>
    <w:pPr>
      <w:pBdr/>
      <w:spacing/>
      <w:ind/>
    </w:pPr>
    <w:rPr>
      <w:i/>
      <w:iCs/>
      <w:color w:val="365f91"/>
    </w:rPr>
  </w:style>
  <w:style w:type="character" w:styleId="835">
    <w:name w:val="Сильне посилання"/>
    <w:next w:val="835"/>
    <w:link w:val="80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36">
    <w:name w:val="Слабке виокремлення"/>
    <w:next w:val="836"/>
    <w:link w:val="802"/>
    <w:uiPriority w:val="19"/>
    <w:qFormat/>
    <w:pPr>
      <w:pBdr/>
      <w:spacing/>
      <w:ind/>
    </w:pPr>
    <w:rPr>
      <w:i/>
      <w:iCs/>
      <w:color w:val="404040"/>
    </w:rPr>
  </w:style>
  <w:style w:type="character" w:styleId="837">
    <w:name w:val="Виділення"/>
    <w:next w:val="837"/>
    <w:link w:val="802"/>
    <w:uiPriority w:val="20"/>
    <w:qFormat/>
    <w:pPr>
      <w:pBdr/>
      <w:spacing/>
      <w:ind/>
    </w:pPr>
    <w:rPr>
      <w:i/>
      <w:iCs/>
    </w:rPr>
  </w:style>
  <w:style w:type="character" w:styleId="838">
    <w:name w:val="Строгий"/>
    <w:next w:val="838"/>
    <w:link w:val="802"/>
    <w:uiPriority w:val="22"/>
    <w:qFormat/>
    <w:pPr>
      <w:pBdr/>
      <w:spacing/>
      <w:ind/>
    </w:pPr>
    <w:rPr>
      <w:b/>
      <w:bCs/>
    </w:rPr>
  </w:style>
  <w:style w:type="character" w:styleId="839">
    <w:name w:val="Слабке посилання"/>
    <w:next w:val="839"/>
    <w:link w:val="802"/>
    <w:uiPriority w:val="31"/>
    <w:qFormat/>
    <w:pPr>
      <w:pBdr/>
      <w:spacing/>
      <w:ind/>
    </w:pPr>
    <w:rPr>
      <w:smallCaps/>
      <w:color w:val="5a5a5a"/>
    </w:rPr>
  </w:style>
  <w:style w:type="character" w:styleId="840">
    <w:name w:val="Назва книги"/>
    <w:next w:val="840"/>
    <w:link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41">
    <w:name w:val="Переглянуте гіперпосилання"/>
    <w:next w:val="841"/>
    <w:link w:val="80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42">
    <w:name w:val="Заголовок змісту"/>
    <w:next w:val="842"/>
    <w:link w:val="802"/>
    <w:uiPriority w:val="39"/>
    <w:unhideWhenUsed/>
    <w:pPr>
      <w:pBdr/>
      <w:spacing/>
      <w:ind/>
    </w:pPr>
    <w:rPr>
      <w:lang w:val="uk-UA" w:eastAsia="uk-UA" w:bidi="ar-SA"/>
    </w:rPr>
  </w:style>
  <w:style w:type="character" w:styleId="843">
    <w:name w:val="Знак виноски"/>
    <w:next w:val="843"/>
    <w:link w:val="802"/>
    <w:uiPriority w:val="99"/>
    <w:unhideWhenUsed/>
    <w:qFormat/>
    <w:pPr>
      <w:pBdr/>
      <w:spacing/>
      <w:ind/>
    </w:pPr>
    <w:rPr>
      <w:vertAlign w:val="superscript"/>
    </w:rPr>
  </w:style>
  <w:style w:type="character" w:styleId="844">
    <w:name w:val="Знак кінцевої виноски"/>
    <w:next w:val="844"/>
    <w:link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5">
    <w:name w:val="Гіперпосилання"/>
    <w:next w:val="845"/>
    <w:link w:val="802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46">
    <w:name w:val="Текст у виносці"/>
    <w:basedOn w:val="802"/>
    <w:next w:val="846"/>
    <w:link w:val="103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47">
    <w:name w:val="Текст кінцевої виноски"/>
    <w:basedOn w:val="802"/>
    <w:next w:val="847"/>
    <w:link w:val="902"/>
    <w:uiPriority w:val="99"/>
    <w:semiHidden/>
    <w:unhideWhenUsed/>
    <w:qFormat/>
    <w:pPr>
      <w:pBdr/>
      <w:spacing/>
      <w:ind/>
    </w:pPr>
    <w:rPr>
      <w:sz w:val="20"/>
    </w:rPr>
  </w:style>
  <w:style w:type="paragraph" w:styleId="848">
    <w:name w:val="Назва об'єкта"/>
    <w:basedOn w:val="802"/>
    <w:next w:val="802"/>
    <w:link w:val="802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9">
    <w:name w:val="Текст виноски"/>
    <w:basedOn w:val="802"/>
    <w:next w:val="849"/>
    <w:link w:val="1030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50">
    <w:name w:val="Зміст 8"/>
    <w:basedOn w:val="802"/>
    <w:next w:val="802"/>
    <w:link w:val="802"/>
    <w:uiPriority w:val="39"/>
    <w:unhideWhenUsed/>
    <w:pPr>
      <w:pBdr/>
      <w:spacing w:after="57"/>
      <w:ind w:firstLine="0" w:left="1984"/>
    </w:pPr>
  </w:style>
  <w:style w:type="paragraph" w:styleId="851">
    <w:name w:val="Верхній колонтитул"/>
    <w:basedOn w:val="802"/>
    <w:next w:val="851"/>
    <w:link w:val="1007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2">
    <w:name w:val="Зміст 9"/>
    <w:basedOn w:val="802"/>
    <w:next w:val="802"/>
    <w:link w:val="802"/>
    <w:uiPriority w:val="39"/>
    <w:unhideWhenUsed/>
    <w:pPr>
      <w:pBdr/>
      <w:spacing w:after="57"/>
      <w:ind w:firstLine="0" w:left="2268"/>
    </w:pPr>
  </w:style>
  <w:style w:type="paragraph" w:styleId="853">
    <w:name w:val="Зміст 7"/>
    <w:basedOn w:val="802"/>
    <w:next w:val="802"/>
    <w:link w:val="802"/>
    <w:uiPriority w:val="39"/>
    <w:unhideWhenUsed/>
    <w:pPr>
      <w:pBdr/>
      <w:spacing w:after="57"/>
      <w:ind w:firstLine="0" w:left="1701"/>
    </w:pPr>
  </w:style>
  <w:style w:type="paragraph" w:styleId="854">
    <w:name w:val="Зміст 1"/>
    <w:basedOn w:val="802"/>
    <w:next w:val="802"/>
    <w:link w:val="802"/>
    <w:uiPriority w:val="39"/>
    <w:unhideWhenUsed/>
    <w:qFormat/>
    <w:pPr>
      <w:pBdr/>
      <w:spacing w:after="57"/>
      <w:ind w:firstLine="0"/>
    </w:pPr>
  </w:style>
  <w:style w:type="paragraph" w:styleId="855">
    <w:name w:val="Зміст 6"/>
    <w:basedOn w:val="802"/>
    <w:next w:val="802"/>
    <w:link w:val="802"/>
    <w:uiPriority w:val="39"/>
    <w:unhideWhenUsed/>
    <w:qFormat/>
    <w:pPr>
      <w:pBdr/>
      <w:spacing w:after="57"/>
      <w:ind w:firstLine="0" w:left="1417"/>
    </w:pPr>
  </w:style>
  <w:style w:type="paragraph" w:styleId="856">
    <w:name w:val="Перелік рисунків"/>
    <w:basedOn w:val="802"/>
    <w:next w:val="802"/>
    <w:link w:val="802"/>
    <w:uiPriority w:val="99"/>
    <w:unhideWhenUsed/>
    <w:qFormat/>
    <w:pPr>
      <w:pBdr/>
      <w:spacing/>
      <w:ind/>
    </w:pPr>
  </w:style>
  <w:style w:type="paragraph" w:styleId="857">
    <w:name w:val="Зміст 3"/>
    <w:basedOn w:val="802"/>
    <w:next w:val="802"/>
    <w:link w:val="802"/>
    <w:uiPriority w:val="39"/>
    <w:unhideWhenUsed/>
    <w:qFormat/>
    <w:pPr>
      <w:pBdr/>
      <w:spacing w:after="57"/>
      <w:ind w:firstLine="0" w:left="567"/>
    </w:pPr>
  </w:style>
  <w:style w:type="paragraph" w:styleId="858">
    <w:name w:val="Зміст 2"/>
    <w:basedOn w:val="802"/>
    <w:next w:val="802"/>
    <w:link w:val="802"/>
    <w:uiPriority w:val="39"/>
    <w:unhideWhenUsed/>
    <w:pPr>
      <w:pBdr/>
      <w:spacing w:after="57"/>
      <w:ind w:firstLine="0" w:left="283"/>
    </w:pPr>
  </w:style>
  <w:style w:type="paragraph" w:styleId="859">
    <w:name w:val="Зміст 4"/>
    <w:basedOn w:val="802"/>
    <w:next w:val="802"/>
    <w:link w:val="802"/>
    <w:uiPriority w:val="39"/>
    <w:unhideWhenUsed/>
    <w:pPr>
      <w:pBdr/>
      <w:spacing w:after="57"/>
      <w:ind w:firstLine="0" w:left="850"/>
    </w:pPr>
  </w:style>
  <w:style w:type="paragraph" w:styleId="860">
    <w:name w:val="Зміст 5"/>
    <w:basedOn w:val="802"/>
    <w:next w:val="802"/>
    <w:link w:val="802"/>
    <w:uiPriority w:val="39"/>
    <w:unhideWhenUsed/>
    <w:pPr>
      <w:pBdr/>
      <w:spacing w:after="57"/>
      <w:ind w:firstLine="0" w:left="1134"/>
    </w:pPr>
  </w:style>
  <w:style w:type="paragraph" w:styleId="861">
    <w:name w:val="Назва"/>
    <w:basedOn w:val="802"/>
    <w:next w:val="802"/>
    <w:link w:val="100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62">
    <w:name w:val="Нижній колонтитул"/>
    <w:basedOn w:val="802"/>
    <w:next w:val="862"/>
    <w:link w:val="100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63">
    <w:name w:val="Підзаголовок"/>
    <w:basedOn w:val="802"/>
    <w:next w:val="802"/>
    <w:link w:val="1002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64">
    <w:name w:val="Сітка таблиці"/>
    <w:basedOn w:val="813"/>
    <w:next w:val="864"/>
    <w:link w:val="80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5">
    <w:name w:val="Heading 1 Char"/>
    <w:next w:val="865"/>
    <w:link w:val="802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66">
    <w:name w:val="Heading 2 Char"/>
    <w:next w:val="866"/>
    <w:link w:val="802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67">
    <w:name w:val="Heading 3 Char"/>
    <w:next w:val="867"/>
    <w:link w:val="802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8">
    <w:name w:val="Heading 4 Char"/>
    <w:next w:val="868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9">
    <w:name w:val="Heading 5 Char"/>
    <w:next w:val="869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70">
    <w:name w:val="Heading 6 Char"/>
    <w:next w:val="870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71">
    <w:name w:val="Heading 7 Char"/>
    <w:next w:val="871"/>
    <w:link w:val="802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72">
    <w:name w:val="Heading 8 Char"/>
    <w:next w:val="872"/>
    <w:link w:val="80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73">
    <w:name w:val="Heading 9 Char"/>
    <w:next w:val="873"/>
    <w:link w:val="80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74">
    <w:name w:val="Title Char"/>
    <w:next w:val="874"/>
    <w:link w:val="802"/>
    <w:uiPriority w:val="10"/>
    <w:qFormat/>
    <w:pPr>
      <w:pBdr/>
      <w:spacing/>
      <w:ind/>
    </w:pPr>
    <w:rPr>
      <w:sz w:val="48"/>
      <w:szCs w:val="48"/>
    </w:rPr>
  </w:style>
  <w:style w:type="character" w:styleId="875">
    <w:name w:val="Subtitle Char"/>
    <w:next w:val="875"/>
    <w:link w:val="802"/>
    <w:uiPriority w:val="11"/>
    <w:qFormat/>
    <w:pPr>
      <w:pBdr/>
      <w:spacing/>
      <w:ind/>
    </w:pPr>
    <w:rPr>
      <w:sz w:val="24"/>
      <w:szCs w:val="24"/>
    </w:rPr>
  </w:style>
  <w:style w:type="character" w:styleId="876">
    <w:name w:val="Quote Char"/>
    <w:next w:val="876"/>
    <w:link w:val="802"/>
    <w:uiPriority w:val="29"/>
    <w:qFormat/>
    <w:pPr>
      <w:pBdr/>
      <w:spacing/>
      <w:ind/>
    </w:pPr>
    <w:rPr>
      <w:i/>
    </w:rPr>
  </w:style>
  <w:style w:type="character" w:styleId="877">
    <w:name w:val="Intense Quote Char"/>
    <w:next w:val="877"/>
    <w:link w:val="802"/>
    <w:uiPriority w:val="30"/>
    <w:qFormat/>
    <w:pPr>
      <w:pBdr/>
      <w:spacing/>
      <w:ind/>
    </w:pPr>
    <w:rPr>
      <w:i/>
    </w:rPr>
  </w:style>
  <w:style w:type="character" w:styleId="878">
    <w:name w:val="Header Char"/>
    <w:basedOn w:val="812"/>
    <w:next w:val="878"/>
    <w:link w:val="802"/>
    <w:uiPriority w:val="99"/>
    <w:qFormat/>
    <w:pPr>
      <w:pBdr/>
      <w:spacing/>
      <w:ind/>
    </w:pPr>
  </w:style>
  <w:style w:type="character" w:styleId="879">
    <w:name w:val="Footer Char"/>
    <w:basedOn w:val="812"/>
    <w:next w:val="879"/>
    <w:link w:val="802"/>
    <w:uiPriority w:val="99"/>
    <w:pPr>
      <w:pBdr/>
      <w:spacing/>
      <w:ind/>
    </w:pPr>
  </w:style>
  <w:style w:type="table" w:styleId="880">
    <w:name w:val="Звичайна таблиця 11"/>
    <w:basedOn w:val="813"/>
    <w:next w:val="880"/>
    <w:link w:val="80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Звичайна таблиця 21"/>
    <w:basedOn w:val="813"/>
    <w:next w:val="881"/>
    <w:link w:val="80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Звичайна таблиця 31"/>
    <w:basedOn w:val="813"/>
    <w:next w:val="882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Звичайна таблиця 41"/>
    <w:basedOn w:val="813"/>
    <w:next w:val="883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Звичайна таблиця 51"/>
    <w:basedOn w:val="813"/>
    <w:next w:val="884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ітка 1 (світла)1"/>
    <w:basedOn w:val="813"/>
    <w:next w:val="885"/>
    <w:link w:val="802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ітка 21"/>
    <w:basedOn w:val="813"/>
    <w:next w:val="88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ітка 31"/>
    <w:basedOn w:val="813"/>
    <w:next w:val="88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ітка 41"/>
    <w:basedOn w:val="813"/>
    <w:next w:val="888"/>
    <w:link w:val="802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ітка 5 (темна)1"/>
    <w:basedOn w:val="813"/>
    <w:next w:val="889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ітка 6 (кольорова)1"/>
    <w:basedOn w:val="813"/>
    <w:next w:val="890"/>
    <w:link w:val="802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Таблиця-сітка 7 (кольорова)1"/>
    <w:basedOn w:val="813"/>
    <w:next w:val="89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Таблиця-список 1 (світлий)1"/>
    <w:basedOn w:val="813"/>
    <w:next w:val="892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Таблиця-список 21"/>
    <w:basedOn w:val="813"/>
    <w:next w:val="893"/>
    <w:link w:val="802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Таблиця-список 31"/>
    <w:basedOn w:val="813"/>
    <w:next w:val="894"/>
    <w:link w:val="80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Таблиця-список 41"/>
    <w:basedOn w:val="813"/>
    <w:next w:val="895"/>
    <w:link w:val="80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Таблиця-список 5 (темний)1"/>
    <w:basedOn w:val="813"/>
    <w:next w:val="896"/>
    <w:link w:val="802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Таблиця-список 6 (кольоровий)1"/>
    <w:basedOn w:val="813"/>
    <w:next w:val="897"/>
    <w:link w:val="802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Таблиця-список 7 (кольоровий)1"/>
    <w:basedOn w:val="813"/>
    <w:next w:val="898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9">
    <w:name w:val="Footnote Text Char"/>
    <w:next w:val="899"/>
    <w:link w:val="802"/>
    <w:uiPriority w:val="99"/>
    <w:pPr>
      <w:pBdr/>
      <w:spacing/>
      <w:ind/>
    </w:pPr>
    <w:rPr>
      <w:sz w:val="18"/>
    </w:rPr>
  </w:style>
  <w:style w:type="character" w:styleId="900">
    <w:name w:val="Endnote Text Char"/>
    <w:next w:val="900"/>
    <w:link w:val="802"/>
    <w:uiPriority w:val="99"/>
    <w:pPr>
      <w:pBdr/>
      <w:spacing/>
      <w:ind/>
    </w:pPr>
    <w:rPr>
      <w:sz w:val="20"/>
    </w:rPr>
  </w:style>
  <w:style w:type="character" w:styleId="901">
    <w:name w:val="Caption Char"/>
    <w:next w:val="901"/>
    <w:link w:val="802"/>
    <w:uiPriority w:val="99"/>
    <w:pPr>
      <w:pBdr/>
      <w:spacing/>
      <w:ind/>
    </w:pPr>
  </w:style>
  <w:style w:type="character" w:styleId="902">
    <w:name w:val="Текст кінцевої виноски Знак"/>
    <w:next w:val="902"/>
    <w:link w:val="847"/>
    <w:uiPriority w:val="99"/>
    <w:pPr>
      <w:pBdr/>
      <w:spacing/>
      <w:ind/>
    </w:pPr>
    <w:rPr>
      <w:sz w:val="20"/>
    </w:rPr>
  </w:style>
  <w:style w:type="table" w:styleId="903">
    <w:name w:val="Table Grid Light"/>
    <w:basedOn w:val="813"/>
    <w:next w:val="903"/>
    <w:link w:val="80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1 Light - Accent 1"/>
    <w:basedOn w:val="813"/>
    <w:next w:val="904"/>
    <w:link w:val="802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 - Accent 2"/>
    <w:basedOn w:val="813"/>
    <w:next w:val="905"/>
    <w:link w:val="802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3"/>
    <w:basedOn w:val="813"/>
    <w:next w:val="906"/>
    <w:link w:val="802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4"/>
    <w:basedOn w:val="813"/>
    <w:next w:val="907"/>
    <w:link w:val="802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5"/>
    <w:basedOn w:val="813"/>
    <w:next w:val="908"/>
    <w:link w:val="802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 - Accent 6"/>
    <w:basedOn w:val="813"/>
    <w:next w:val="909"/>
    <w:link w:val="802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2 - Accent 1"/>
    <w:basedOn w:val="813"/>
    <w:next w:val="91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2 - Accent 2"/>
    <w:basedOn w:val="813"/>
    <w:next w:val="91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3"/>
    <w:basedOn w:val="813"/>
    <w:next w:val="91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4"/>
    <w:basedOn w:val="813"/>
    <w:next w:val="91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5"/>
    <w:basedOn w:val="813"/>
    <w:next w:val="91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6"/>
    <w:basedOn w:val="813"/>
    <w:next w:val="91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 - Accent 1"/>
    <w:basedOn w:val="813"/>
    <w:next w:val="91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3 - Accent 2"/>
    <w:basedOn w:val="813"/>
    <w:next w:val="91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 - Accent 3"/>
    <w:basedOn w:val="813"/>
    <w:next w:val="918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4"/>
    <w:basedOn w:val="813"/>
    <w:next w:val="919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5"/>
    <w:basedOn w:val="813"/>
    <w:next w:val="92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6"/>
    <w:basedOn w:val="813"/>
    <w:next w:val="92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 - Accent 1"/>
    <w:basedOn w:val="813"/>
    <w:next w:val="922"/>
    <w:link w:val="802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 - Accent 2"/>
    <w:basedOn w:val="813"/>
    <w:next w:val="923"/>
    <w:link w:val="802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4 - Accent 3"/>
    <w:basedOn w:val="813"/>
    <w:next w:val="924"/>
    <w:link w:val="802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 - Accent 4"/>
    <w:basedOn w:val="813"/>
    <w:next w:val="925"/>
    <w:link w:val="802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5"/>
    <w:basedOn w:val="813"/>
    <w:next w:val="926"/>
    <w:link w:val="802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6"/>
    <w:basedOn w:val="813"/>
    <w:next w:val="927"/>
    <w:link w:val="802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5 Dark- Accent 1"/>
    <w:basedOn w:val="813"/>
    <w:next w:val="928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 - Accent 2"/>
    <w:basedOn w:val="813"/>
    <w:next w:val="929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 - Accent 3"/>
    <w:basedOn w:val="813"/>
    <w:next w:val="930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5 Dark- Accent 4"/>
    <w:basedOn w:val="813"/>
    <w:next w:val="931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 - Accent 5"/>
    <w:basedOn w:val="813"/>
    <w:next w:val="932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 - Accent 6"/>
    <w:basedOn w:val="813"/>
    <w:next w:val="933"/>
    <w:link w:val="80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6 Colorful - Accent 1"/>
    <w:basedOn w:val="813"/>
    <w:next w:val="934"/>
    <w:link w:val="802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6 Colorful - Accent 2"/>
    <w:basedOn w:val="813"/>
    <w:next w:val="935"/>
    <w:link w:val="802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 - Accent 3"/>
    <w:basedOn w:val="813"/>
    <w:next w:val="936"/>
    <w:link w:val="802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 - Accent 4"/>
    <w:basedOn w:val="813"/>
    <w:next w:val="937"/>
    <w:link w:val="802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6 Colorful - Accent 5"/>
    <w:basedOn w:val="813"/>
    <w:next w:val="938"/>
    <w:link w:val="802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 - Accent 6"/>
    <w:basedOn w:val="813"/>
    <w:next w:val="939"/>
    <w:link w:val="802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7 Colorful - Accent 1"/>
    <w:basedOn w:val="813"/>
    <w:next w:val="940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7 Colorful - Accent 2"/>
    <w:basedOn w:val="813"/>
    <w:next w:val="941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3"/>
    <w:basedOn w:val="813"/>
    <w:next w:val="94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 - Accent 4"/>
    <w:basedOn w:val="813"/>
    <w:next w:val="94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 - Accent 5"/>
    <w:basedOn w:val="813"/>
    <w:next w:val="94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7 Colorful - Accent 6"/>
    <w:basedOn w:val="813"/>
    <w:next w:val="94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1"/>
    <w:basedOn w:val="813"/>
    <w:next w:val="946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1 Light - Accent 2"/>
    <w:basedOn w:val="813"/>
    <w:next w:val="947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3"/>
    <w:basedOn w:val="813"/>
    <w:next w:val="948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4"/>
    <w:basedOn w:val="813"/>
    <w:next w:val="949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 - Accent 5"/>
    <w:basedOn w:val="813"/>
    <w:next w:val="950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 - Accent 6"/>
    <w:basedOn w:val="813"/>
    <w:next w:val="951"/>
    <w:link w:val="80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 - Accent 1"/>
    <w:basedOn w:val="813"/>
    <w:next w:val="952"/>
    <w:link w:val="802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2"/>
    <w:basedOn w:val="813"/>
    <w:next w:val="953"/>
    <w:link w:val="802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3"/>
    <w:basedOn w:val="813"/>
    <w:next w:val="954"/>
    <w:link w:val="802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4"/>
    <w:basedOn w:val="813"/>
    <w:next w:val="955"/>
    <w:link w:val="802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5"/>
    <w:basedOn w:val="813"/>
    <w:next w:val="956"/>
    <w:link w:val="802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 - Accent 6"/>
    <w:basedOn w:val="813"/>
    <w:next w:val="957"/>
    <w:link w:val="802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3 - Accent 1"/>
    <w:basedOn w:val="813"/>
    <w:next w:val="958"/>
    <w:link w:val="802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 - Accent 2"/>
    <w:basedOn w:val="813"/>
    <w:next w:val="959"/>
    <w:link w:val="802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3"/>
    <w:basedOn w:val="813"/>
    <w:next w:val="960"/>
    <w:link w:val="802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4"/>
    <w:basedOn w:val="813"/>
    <w:next w:val="961"/>
    <w:link w:val="802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5"/>
    <w:basedOn w:val="813"/>
    <w:next w:val="962"/>
    <w:link w:val="802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6"/>
    <w:basedOn w:val="813"/>
    <w:next w:val="963"/>
    <w:link w:val="802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 - Accent 1"/>
    <w:basedOn w:val="813"/>
    <w:next w:val="964"/>
    <w:link w:val="802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4 - Accent 2"/>
    <w:basedOn w:val="813"/>
    <w:next w:val="965"/>
    <w:link w:val="802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 - Accent 3"/>
    <w:basedOn w:val="813"/>
    <w:next w:val="966"/>
    <w:link w:val="802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4"/>
    <w:basedOn w:val="813"/>
    <w:next w:val="967"/>
    <w:link w:val="802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5"/>
    <w:basedOn w:val="813"/>
    <w:next w:val="968"/>
    <w:link w:val="802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6"/>
    <w:basedOn w:val="813"/>
    <w:next w:val="969"/>
    <w:link w:val="802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5 Dark - Accent 1"/>
    <w:basedOn w:val="813"/>
    <w:next w:val="970"/>
    <w:link w:val="802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 - Accent 2"/>
    <w:basedOn w:val="813"/>
    <w:next w:val="971"/>
    <w:link w:val="802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5 Dark - Accent 3"/>
    <w:basedOn w:val="813"/>
    <w:next w:val="972"/>
    <w:link w:val="802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 - Accent 4"/>
    <w:basedOn w:val="813"/>
    <w:next w:val="973"/>
    <w:link w:val="802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5"/>
    <w:basedOn w:val="813"/>
    <w:next w:val="974"/>
    <w:link w:val="802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6"/>
    <w:basedOn w:val="813"/>
    <w:next w:val="975"/>
    <w:link w:val="802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 - Accent 1"/>
    <w:basedOn w:val="813"/>
    <w:next w:val="976"/>
    <w:link w:val="802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6 Colorful - Accent 2"/>
    <w:basedOn w:val="813"/>
    <w:next w:val="977"/>
    <w:link w:val="802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 - Accent 3"/>
    <w:basedOn w:val="813"/>
    <w:next w:val="978"/>
    <w:link w:val="802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6 Colorful - Accent 4"/>
    <w:basedOn w:val="813"/>
    <w:next w:val="979"/>
    <w:link w:val="802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 - Accent 5"/>
    <w:basedOn w:val="813"/>
    <w:next w:val="980"/>
    <w:link w:val="802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6"/>
    <w:basedOn w:val="813"/>
    <w:next w:val="981"/>
    <w:link w:val="802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 - Accent 1"/>
    <w:basedOn w:val="813"/>
    <w:next w:val="982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 - Accent 2"/>
    <w:basedOn w:val="813"/>
    <w:next w:val="983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7 Colorful - Accent 3"/>
    <w:basedOn w:val="813"/>
    <w:next w:val="984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 - Accent 4"/>
    <w:basedOn w:val="813"/>
    <w:next w:val="985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7 Colorful - Accent 5"/>
    <w:basedOn w:val="813"/>
    <w:next w:val="986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 - Accent 6"/>
    <w:basedOn w:val="813"/>
    <w:next w:val="987"/>
    <w:link w:val="80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ned - Accent"/>
    <w:basedOn w:val="813"/>
    <w:next w:val="988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"/>
    <w:basedOn w:val="813"/>
    <w:next w:val="989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Заголовок 1 Знак"/>
    <w:next w:val="990"/>
    <w:link w:val="80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91">
    <w:name w:val="Заголовок 2 Знак"/>
    <w:next w:val="991"/>
    <w:link w:val="80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92">
    <w:name w:val="Заголовок 3 Знак"/>
    <w:next w:val="992"/>
    <w:link w:val="80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93">
    <w:name w:val="Заголовок 4 Знак"/>
    <w:next w:val="993"/>
    <w:link w:val="80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94">
    <w:name w:val="Заголовок 5 Знак"/>
    <w:next w:val="994"/>
    <w:link w:val="80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95">
    <w:name w:val="Заголовок 6 Знак"/>
    <w:next w:val="995"/>
    <w:link w:val="80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96">
    <w:name w:val="Заголовок 7 Знак"/>
    <w:next w:val="996"/>
    <w:link w:val="80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97">
    <w:name w:val="Заголовок 8 Знак"/>
    <w:next w:val="997"/>
    <w:link w:val="81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8">
    <w:name w:val="Заголовок 9 Знак"/>
    <w:next w:val="998"/>
    <w:link w:val="81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9">
    <w:name w:val="Абзац списку"/>
    <w:basedOn w:val="802"/>
    <w:next w:val="999"/>
    <w:link w:val="802"/>
    <w:uiPriority w:val="34"/>
    <w:qFormat/>
    <w:pPr>
      <w:pBdr/>
      <w:spacing/>
      <w:ind w:left="720"/>
      <w:contextualSpacing w:val="true"/>
    </w:pPr>
  </w:style>
  <w:style w:type="paragraph" w:styleId="1000">
    <w:name w:val="Без інтервалів"/>
    <w:next w:val="1000"/>
    <w:link w:val="802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01">
    <w:name w:val="Назва Знак"/>
    <w:next w:val="1001"/>
    <w:link w:val="861"/>
    <w:uiPriority w:val="10"/>
    <w:pPr>
      <w:pBdr/>
      <w:spacing/>
      <w:ind/>
    </w:pPr>
    <w:rPr>
      <w:sz w:val="48"/>
      <w:szCs w:val="48"/>
    </w:rPr>
  </w:style>
  <w:style w:type="character" w:styleId="1002">
    <w:name w:val="Підзаголовок Знак"/>
    <w:next w:val="1002"/>
    <w:link w:val="863"/>
    <w:uiPriority w:val="11"/>
    <w:pPr>
      <w:pBdr/>
      <w:spacing/>
      <w:ind/>
    </w:pPr>
    <w:rPr>
      <w:sz w:val="24"/>
      <w:szCs w:val="24"/>
    </w:rPr>
  </w:style>
  <w:style w:type="paragraph" w:styleId="1003">
    <w:name w:val="Цитата"/>
    <w:basedOn w:val="802"/>
    <w:next w:val="802"/>
    <w:link w:val="1004"/>
    <w:uiPriority w:val="29"/>
    <w:qFormat/>
    <w:pPr>
      <w:pBdr/>
      <w:spacing/>
      <w:ind w:right="720" w:left="720"/>
    </w:pPr>
    <w:rPr>
      <w:i/>
    </w:rPr>
  </w:style>
  <w:style w:type="character" w:styleId="1004">
    <w:name w:val="Цитата Знак"/>
    <w:next w:val="1004"/>
    <w:link w:val="1003"/>
    <w:uiPriority w:val="29"/>
    <w:pPr>
      <w:pBdr/>
      <w:spacing/>
      <w:ind/>
    </w:pPr>
    <w:rPr>
      <w:i/>
    </w:rPr>
  </w:style>
  <w:style w:type="paragraph" w:styleId="1005">
    <w:name w:val="Насичена цитата"/>
    <w:basedOn w:val="802"/>
    <w:next w:val="802"/>
    <w:link w:val="10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06">
    <w:name w:val="Насичена цитата Знак"/>
    <w:next w:val="1006"/>
    <w:link w:val="1005"/>
    <w:uiPriority w:val="30"/>
    <w:pPr>
      <w:pBdr/>
      <w:spacing/>
      <w:ind/>
    </w:pPr>
    <w:rPr>
      <w:i/>
    </w:rPr>
  </w:style>
  <w:style w:type="character" w:styleId="1007">
    <w:name w:val="Верхній колонтитул Знак"/>
    <w:basedOn w:val="812"/>
    <w:next w:val="1007"/>
    <w:link w:val="851"/>
    <w:uiPriority w:val="99"/>
    <w:pPr>
      <w:pBdr/>
      <w:spacing/>
      <w:ind/>
    </w:pPr>
  </w:style>
  <w:style w:type="character" w:styleId="1008">
    <w:name w:val="Нижній колонтитул Знак"/>
    <w:basedOn w:val="812"/>
    <w:next w:val="1008"/>
    <w:link w:val="862"/>
    <w:uiPriority w:val="99"/>
    <w:pPr>
      <w:pBdr/>
      <w:spacing/>
      <w:ind/>
    </w:pPr>
  </w:style>
  <w:style w:type="table" w:styleId="1009">
    <w:name w:val="Lined"/>
    <w:basedOn w:val="813"/>
    <w:next w:val="1009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ned - Accent 1"/>
    <w:basedOn w:val="813"/>
    <w:next w:val="1010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ned - Accent 2"/>
    <w:basedOn w:val="813"/>
    <w:next w:val="1011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ned - Accent 3"/>
    <w:basedOn w:val="813"/>
    <w:next w:val="1012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ned - Accent 4"/>
    <w:basedOn w:val="813"/>
    <w:next w:val="1013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ned - Accent 5"/>
    <w:basedOn w:val="813"/>
    <w:next w:val="1014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ned - Accent 6"/>
    <w:basedOn w:val="813"/>
    <w:next w:val="1015"/>
    <w:link w:val="80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"/>
    <w:basedOn w:val="813"/>
    <w:next w:val="1016"/>
    <w:link w:val="802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- Accent 1"/>
    <w:basedOn w:val="813"/>
    <w:next w:val="1017"/>
    <w:link w:val="802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- Accent 2"/>
    <w:basedOn w:val="813"/>
    <w:next w:val="1018"/>
    <w:link w:val="802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3"/>
    <w:basedOn w:val="813"/>
    <w:next w:val="1019"/>
    <w:link w:val="802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4"/>
    <w:basedOn w:val="813"/>
    <w:next w:val="1020"/>
    <w:link w:val="802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- Accent 5"/>
    <w:basedOn w:val="813"/>
    <w:next w:val="1021"/>
    <w:link w:val="802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6"/>
    <w:basedOn w:val="813"/>
    <w:next w:val="1022"/>
    <w:link w:val="802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 &amp; Lined"/>
    <w:basedOn w:val="813"/>
    <w:next w:val="1023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Bordered &amp; Lined - Accent 1"/>
    <w:basedOn w:val="813"/>
    <w:next w:val="1024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Bordered &amp; Lined - Accent 2"/>
    <w:basedOn w:val="813"/>
    <w:next w:val="1025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Bordered &amp; Lined - Accent 3"/>
    <w:basedOn w:val="813"/>
    <w:next w:val="1026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Bordered &amp; Lined - Accent 4"/>
    <w:basedOn w:val="813"/>
    <w:next w:val="1027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Bordered &amp; Lined - Accent 5"/>
    <w:basedOn w:val="813"/>
    <w:next w:val="1028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 &amp; Lined - Accent 6"/>
    <w:basedOn w:val="813"/>
    <w:next w:val="1029"/>
    <w:link w:val="80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0">
    <w:name w:val="Текст виноски Знак"/>
    <w:next w:val="1030"/>
    <w:link w:val="849"/>
    <w:uiPriority w:val="99"/>
    <w:pPr>
      <w:pBdr/>
      <w:spacing/>
      <w:ind/>
    </w:pPr>
    <w:rPr>
      <w:sz w:val="18"/>
    </w:rPr>
  </w:style>
  <w:style w:type="paragraph" w:styleId="1031">
    <w:name w:val="Заголовок оглавления1"/>
    <w:next w:val="1031"/>
    <w:link w:val="802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32">
    <w:name w:val="Текст у виносці Знак"/>
    <w:next w:val="1032"/>
    <w:link w:val="846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33">
    <w:name w:val="docdata"/>
    <w:basedOn w:val="802"/>
    <w:next w:val="1033"/>
    <w:link w:val="80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34">
    <w:name w:val="docy"/>
    <w:basedOn w:val="812"/>
    <w:next w:val="1034"/>
    <w:link w:val="80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84</cp:revision>
  <dcterms:created xsi:type="dcterms:W3CDTF">2026-02-06T08:27:00Z</dcterms:created>
  <dcterms:modified xsi:type="dcterms:W3CDTF">2026-06-16T08:58:59Z</dcterms:modified>
  <cp:version>1048576</cp:version>
</cp:coreProperties>
</file>