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00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1000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802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802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802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80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val="en-US" w:eastAsia="hi-IN" w:bidi="hi-IN"/>
        </w:rPr>
        <w:t xml:space="preserve">0</w:t>
      </w:r>
      <w:r>
        <w:rPr>
          <w:rFonts w:cs="Mangal"/>
          <w:color w:val="000000"/>
          <w:szCs w:val="28"/>
          <w:lang w:val="en-US" w:eastAsia="hi-IN" w:bidi="hi-IN"/>
        </w:rPr>
        <w:t xml:space="preserve">5</w:t>
      </w:r>
      <w:r>
        <w:rPr>
          <w:rFonts w:cs="Mangal"/>
          <w:color w:val="000000"/>
          <w:szCs w:val="28"/>
          <w:lang w:val="en-US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черв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val="en-US" w:eastAsia="hi-IN" w:bidi="hi-IN"/>
        </w:rPr>
        <w:t xml:space="preserve">159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80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02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02"/>
        <w:pBdr/>
        <w:spacing/>
        <w:ind/>
        <w:rPr/>
      </w:pPr>
      <w:r/>
      <w:r/>
    </w:p>
    <w:p>
      <w:pPr>
        <w:pStyle w:val="802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сесі</w:t>
      </w:r>
      <w:r>
        <w:t xml:space="preserve">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</w:t>
      </w:r>
      <w:r>
        <w:t xml:space="preserve">юджетних коштів: </w:t>
      </w:r>
      <w:r/>
    </w:p>
    <w:p>
      <w:pPr>
        <w:pStyle w:val="999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color w:val="000000" w:themeColor="text1"/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</w:t>
      </w:r>
      <w:r>
        <w:rPr>
          <w:szCs w:val="28"/>
        </w:rPr>
        <w:t xml:space="preserve">розпису</w:t>
      </w:r>
      <w:r>
        <w:rPr>
          <w:szCs w:val="28"/>
        </w:rPr>
        <w:t xml:space="preserve"> видатків загального фонду </w:t>
      </w:r>
      <w:r>
        <w:rPr>
          <w:szCs w:val="28"/>
        </w:rPr>
        <w:t xml:space="preserve">Менської міської ради</w:t>
      </w:r>
      <w:r>
        <w:rPr>
          <w:szCs w:val="28"/>
        </w:rPr>
        <w:t xml:space="preserve">, а саме:</w:t>
      </w:r>
      <w:r>
        <w:rPr>
          <w:szCs w:val="28"/>
        </w:rPr>
        <w:t xml:space="preserve"> </w:t>
      </w:r>
      <w:r>
        <w:rPr>
          <w:color w:val="000000" w:themeColor="text1"/>
          <w:shd w:val="clear" w:color="auto" w:fill="ffffff"/>
        </w:rPr>
        <w:t xml:space="preserve">по забезпеченн</w:t>
      </w:r>
      <w:r>
        <w:rPr>
          <w:color w:val="000000" w:themeColor="text1"/>
          <w:shd w:val="clear" w:color="auto" w:fill="ffffff"/>
        </w:rPr>
        <w:t xml:space="preserve">ю функціонування підприємств, установ та організацій, що виробляють, виконують та/або надають житлово-комунальні послуги в частині фінансування Програми підтримки КП «Менакомунпослуга» Менської міської ради на 2025-2027 роки зменшити кошторисні призначення</w:t>
      </w:r>
      <w:r>
        <w:rPr>
          <w:color w:val="000000" w:themeColor="text1"/>
          <w:shd w:val="clear" w:color="auto" w:fill="ffffff"/>
        </w:rPr>
        <w:t xml:space="preserve"> для субсидій та поточних трансфертів підприємствам  (установам, організаціям) у </w:t>
      </w:r>
      <w:r>
        <w:rPr>
          <w:color w:val="000000" w:themeColor="text1"/>
          <w:shd w:val="clear" w:color="auto" w:fill="ffffff"/>
        </w:rPr>
        <w:t xml:space="preserve">липні</w:t>
      </w:r>
      <w:r>
        <w:rPr>
          <w:color w:val="000000" w:themeColor="text1"/>
          <w:shd w:val="clear" w:color="auto" w:fill="ffffff"/>
        </w:rPr>
        <w:t xml:space="preserve"> місяці на суму </w:t>
      </w:r>
      <w:r>
        <w:rPr>
          <w:color w:val="000000" w:themeColor="text1"/>
          <w:shd w:val="clear" w:color="auto" w:fill="ffffff"/>
        </w:rPr>
        <w:t xml:space="preserve">155</w:t>
      </w:r>
      <w:r>
        <w:rPr>
          <w:color w:val="000000" w:themeColor="text1"/>
          <w:shd w:val="clear" w:color="auto" w:fill="ffffff"/>
        </w:rPr>
        <w:t xml:space="preserve">000,00 грн., у </w:t>
      </w:r>
      <w:r>
        <w:rPr>
          <w:color w:val="000000" w:themeColor="text1"/>
          <w:shd w:val="clear" w:color="auto" w:fill="ffffff"/>
        </w:rPr>
        <w:t xml:space="preserve">серпні</w:t>
      </w:r>
      <w:r>
        <w:rPr>
          <w:color w:val="000000" w:themeColor="text1"/>
          <w:shd w:val="clear" w:color="auto" w:fill="ffffff"/>
        </w:rPr>
        <w:t xml:space="preserve"> м</w:t>
      </w:r>
      <w:r>
        <w:rPr>
          <w:color w:val="000000" w:themeColor="text1"/>
          <w:shd w:val="clear" w:color="auto" w:fill="ffffff"/>
        </w:rPr>
        <w:t xml:space="preserve">ісяці на суму </w:t>
      </w:r>
      <w:r>
        <w:rPr>
          <w:color w:val="000000" w:themeColor="text1"/>
          <w:shd w:val="clear" w:color="auto" w:fill="ffffff"/>
        </w:rPr>
        <w:t xml:space="preserve">2</w:t>
      </w:r>
      <w:r>
        <w:rPr>
          <w:color w:val="000000" w:themeColor="text1"/>
          <w:shd w:val="clear" w:color="auto" w:fill="ffffff"/>
        </w:rPr>
        <w:t xml:space="preserve">00000,00 грн., у </w:t>
      </w:r>
      <w:r>
        <w:rPr>
          <w:color w:val="000000" w:themeColor="text1"/>
          <w:shd w:val="clear" w:color="auto" w:fill="ffffff"/>
        </w:rPr>
        <w:t xml:space="preserve">вересні</w:t>
      </w:r>
      <w:r>
        <w:rPr>
          <w:color w:val="000000" w:themeColor="text1"/>
          <w:shd w:val="clear" w:color="auto" w:fill="ffffff"/>
        </w:rPr>
        <w:t xml:space="preserve"> місяці на суму </w:t>
      </w:r>
      <w:r>
        <w:rPr>
          <w:color w:val="000000" w:themeColor="text1"/>
          <w:shd w:val="clear" w:color="auto" w:fill="ffffff"/>
        </w:rPr>
        <w:t xml:space="preserve">20</w:t>
      </w:r>
      <w:r>
        <w:rPr>
          <w:color w:val="000000" w:themeColor="text1"/>
          <w:shd w:val="clear" w:color="auto" w:fill="ffffff"/>
        </w:rPr>
        <w:t xml:space="preserve">000,00 грн. (для придбання предметів, матеріалів, обладнання та інвентарю), відповідно збільшити кошторисні призначення у </w:t>
      </w:r>
      <w:r>
        <w:rPr>
          <w:color w:val="000000" w:themeColor="text1"/>
          <w:shd w:val="clear" w:color="auto" w:fill="ffffff"/>
        </w:rPr>
        <w:t xml:space="preserve">червні</w:t>
      </w:r>
      <w:r>
        <w:rPr>
          <w:color w:val="000000" w:themeColor="text1"/>
          <w:shd w:val="clear" w:color="auto" w:fill="ffffff"/>
        </w:rPr>
        <w:t xml:space="preserve"> місяці на суму </w:t>
      </w:r>
      <w:r>
        <w:rPr>
          <w:color w:val="000000" w:themeColor="text1"/>
          <w:shd w:val="clear" w:color="auto" w:fill="ffffff"/>
        </w:rPr>
        <w:t xml:space="preserve">375</w:t>
      </w:r>
      <w:r>
        <w:rPr>
          <w:color w:val="000000" w:themeColor="text1"/>
          <w:shd w:val="clear" w:color="auto" w:fill="ffffff"/>
        </w:rPr>
        <w:t xml:space="preserve">000,00 грн. (з яких </w:t>
      </w:r>
      <w:r>
        <w:rPr>
          <w:color w:val="000000" w:themeColor="text1"/>
          <w:shd w:val="clear" w:color="auto" w:fill="ffffff"/>
        </w:rPr>
        <w:t xml:space="preserve">8</w:t>
      </w:r>
      <w:r>
        <w:rPr>
          <w:color w:val="000000" w:themeColor="text1"/>
          <w:shd w:val="clear" w:color="auto" w:fill="ffffff"/>
        </w:rPr>
        <w:t xml:space="preserve">5</w:t>
      </w:r>
      <w:r>
        <w:rPr>
          <w:color w:val="000000" w:themeColor="text1"/>
          <w:shd w:val="clear" w:color="auto" w:fill="ffffff"/>
        </w:rPr>
        <w:t xml:space="preserve">000,00 грн. на оплату послуг (крім комунальних) та </w:t>
      </w:r>
      <w:r>
        <w:rPr>
          <w:color w:val="000000" w:themeColor="text1"/>
          <w:shd w:val="clear" w:color="auto" w:fill="ffffff"/>
        </w:rPr>
        <w:t xml:space="preserve">290</w:t>
      </w:r>
      <w:r>
        <w:rPr>
          <w:color w:val="000000" w:themeColor="text1"/>
          <w:shd w:val="clear" w:color="auto" w:fill="ffffff"/>
        </w:rPr>
        <w:t xml:space="preserve">000,00 грн. для придбання предметів, матеріалів, обладнання та інвентарю) з послідуючим внесенням до плану використання бюджетних коштів</w:t>
      </w:r>
      <w:r>
        <w:rPr>
          <w:color w:val="000000" w:themeColor="text1"/>
          <w:szCs w:val="28"/>
        </w:rPr>
      </w:r>
      <w:r>
        <w:rPr>
          <w:color w:val="000000" w:themeColor="text1"/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(КПКВК 0116020 КЕКВ 2610)</w:t>
      </w:r>
      <w:r>
        <w:rPr>
          <w:color w:val="000000" w:themeColor="text1"/>
          <w:shd w:val="clear" w:color="auto" w:fill="ffffff"/>
        </w:rPr>
        <w:t xml:space="preserve">.</w:t>
      </w: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</w:p>
    <w:p>
      <w:pPr>
        <w:pStyle w:val="999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Відділ</w:t>
      </w:r>
      <w:r>
        <w:rPr>
          <w:szCs w:val="28"/>
        </w:rPr>
        <w:t xml:space="preserve">у соціального захисту населення та охорони здоров’я Менської міської ради, а сам</w:t>
      </w:r>
      <w:r>
        <w:rPr>
          <w:color w:val="000000" w:themeColor="text1"/>
          <w:shd w:val="clear" w:color="auto" w:fill="ffffff"/>
        </w:rPr>
        <w:t xml:space="preserve">е</w:t>
      </w:r>
      <w:r>
        <w:rPr>
          <w:szCs w:val="28"/>
        </w:rPr>
        <w:t xml:space="preserve">: </w:t>
      </w:r>
      <w:r>
        <w:rPr>
          <w:szCs w:val="28"/>
        </w:rPr>
        <w:t xml:space="preserve">по забезпеченню </w:t>
      </w:r>
      <w:r>
        <w:rPr>
          <w:szCs w:val="28"/>
        </w:rPr>
        <w:t xml:space="preserve">соціальними послугами за місцем проживання громадян, які не здатні до самообслуговування у зв’язку з похилим віком, хворобою, інвалідністю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 для </w:t>
      </w:r>
      <w:r>
        <w:rPr>
          <w:szCs w:val="28"/>
        </w:rPr>
        <w:t xml:space="preserve">оплати за електроенергію в жовтні місяці на суму 30000,00 грн., в листопаді місяці на суму 30000,00 грн., в грудні місяці на суму 30000,00 грн., відповідно збільшити кошторисні призначення за вказаним напрямком у червні місяці на суму 900</w:t>
      </w:r>
      <w:r>
        <w:rPr>
          <w:szCs w:val="28"/>
        </w:rPr>
        <w:t xml:space="preserve">00,00 грн.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  <w:lang w:val="en-US"/>
        </w:rPr>
      </w:pPr>
      <w:r>
        <w:rPr>
          <w:szCs w:val="28"/>
        </w:rPr>
        <w:t xml:space="preserve">(КПКВК 0813104 КЕКВ 2273).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999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річного та помісячного розпису видатків загального фонду </w:t>
      </w:r>
      <w:r>
        <w:rPr>
          <w:color w:val="000000" w:themeColor="text1"/>
          <w:shd w:val="clear" w:color="auto" w:fill="ffffff"/>
        </w:rPr>
      </w:r>
      <w:r>
        <w:rPr>
          <w:szCs w:val="28"/>
        </w:rPr>
        <w:t xml:space="preserve">Відділу освіти Менської міської ради</w:t>
      </w:r>
      <w:r>
        <w:rPr>
          <w:szCs w:val="28"/>
        </w:rPr>
        <w:t xml:space="preserve"> </w:t>
      </w:r>
      <w:r>
        <w:rPr>
          <w:szCs w:val="28"/>
        </w:rPr>
        <w:t xml:space="preserve">з  надання дошкільної освіти</w:t>
      </w:r>
      <w:r>
        <w:rPr>
          <w:szCs w:val="28"/>
        </w:rPr>
        <w:t xml:space="preserve">: 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придбання предметів, матеріалів, обладнання та інвентарю у жовтні місяці на суму 13700,00 грн., у листопаді місяці на </w:t>
      </w:r>
      <w:r>
        <w:rPr>
          <w:szCs w:val="28"/>
        </w:rPr>
        <w:t xml:space="preserve">суму 1300,000 грн., у грудні місяці на суму 6920,00 грн., відповідно збільшити кошторисні призначення за вказаним напрямком </w:t>
      </w:r>
      <w:r>
        <w:rPr>
          <w:szCs w:val="28"/>
        </w:rPr>
        <w:t xml:space="preserve">у червні місяці </w:t>
      </w:r>
      <w:r>
        <w:rPr>
          <w:szCs w:val="28"/>
        </w:rPr>
        <w:t xml:space="preserve">на суму </w:t>
      </w:r>
      <w:r>
        <w:rPr>
          <w:szCs w:val="28"/>
        </w:rPr>
        <w:t xml:space="preserve"> </w:t>
      </w:r>
      <w:r>
        <w:rPr>
          <w:szCs w:val="28"/>
        </w:rPr>
        <w:t xml:space="preserve">21920,00 грн. (оплата за госпо</w:t>
      </w:r>
      <w:r>
        <w:rPr>
          <w:szCs w:val="28"/>
        </w:rPr>
        <w:t xml:space="preserve">дарські та будівельні матеріали для ремонту)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0611010 КЕКВ 2210);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оплати послуг (крім комунальних) у жовтні місяці на суму 13000,00 грн., у листопаді місяці на суму 17000,00 грн., </w:t>
      </w:r>
      <w:r>
        <w:rPr>
          <w:szCs w:val="28"/>
        </w:rPr>
        <w:t xml:space="preserve">у грудні місяці на суму 3966,00 грн., відповідно збільшити кошторисн</w:t>
      </w:r>
      <w:r>
        <w:rPr>
          <w:szCs w:val="28"/>
        </w:rPr>
        <w:t xml:space="preserve">і призначення за вказаним напрямком у червні місяці на суму 33966,00 грн. (оплата за послуги з поточного ремонту в укритті Менського ЗДО «Сонечко» Менської міської ради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0611010 КЕКВ 2240);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</w:t>
      </w:r>
      <w:r>
        <w:rPr>
          <w:szCs w:val="28"/>
        </w:rPr>
        <w:t xml:space="preserve">чення для оплати за електроенергію у ве</w:t>
      </w:r>
      <w:r>
        <w:rPr>
          <w:szCs w:val="28"/>
        </w:rPr>
        <w:t xml:space="preserve">ресні місяці на суму 1500,00 грн., у жовтні місяці на суму 7000,00 грн., у листопаді місяці на суму 21000,00 грн., у грудні місяці на суму 1000,00 грн., відповідно збільшити кошторисні призначення за вказаним напрямком у червні місяці на суму 30500,00 грн.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0611010 КЕКВ 2273);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</w:t>
      </w:r>
      <w:r>
        <w:rPr>
          <w:szCs w:val="28"/>
        </w:rPr>
        <w:t xml:space="preserve">призначення для придбання предметів, матеріалів, обладнання та інвентарю у </w:t>
      </w:r>
      <w:r>
        <w:rPr>
          <w:szCs w:val="28"/>
        </w:rPr>
        <w:t xml:space="preserve">листопаді</w:t>
      </w:r>
      <w:r>
        <w:rPr>
          <w:szCs w:val="28"/>
        </w:rPr>
        <w:t xml:space="preserve"> місяці на суму</w:t>
      </w:r>
      <w:r>
        <w:rPr>
          <w:szCs w:val="28"/>
        </w:rPr>
        <w:t xml:space="preserve"> 24000,00 грн., відповідно збільшити кошторисні призначення для придба</w:t>
      </w:r>
      <w:r>
        <w:rPr>
          <w:szCs w:val="28"/>
        </w:rPr>
        <w:t xml:space="preserve">ння обладнання і предметів довгострокового користування</w:t>
      </w:r>
      <w:r>
        <w:rPr>
          <w:szCs w:val="28"/>
        </w:rPr>
        <w:t xml:space="preserve"> у червні місяці на таку ж суму (закупівля воріт секційного збору для Менського ЗДО «Дитяча академія» Менської міської ради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0611010 КЕКВ 2210 -24000,00 грн., КЕКВ 3110 +24000,00 грн.).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 w:themeColor="text1"/>
          <w:shd w:val="clear" w:color="auto" w:fill="ffffff"/>
        </w:rPr>
        <w:t xml:space="preserve">Внести </w:t>
      </w:r>
      <w:r>
        <w:rPr>
          <w:szCs w:val="28"/>
        </w:rPr>
        <w:t xml:space="preserve">зміни до рі</w:t>
      </w:r>
      <w:r>
        <w:rPr>
          <w:szCs w:val="28"/>
        </w:rPr>
        <w:t xml:space="preserve">чного та помісячного розпису видатків загального фонду Відділу освіти Менської міської ради з  </w:t>
      </w:r>
      <w:r>
        <w:rPr>
          <w:szCs w:val="28"/>
        </w:rPr>
        <w:t xml:space="preserve">надання загальної середньої освіти закладами загальної середньої освіти за рахунок коштів місцевих бюджетів: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нарахув</w:t>
      </w:r>
      <w:r>
        <w:rPr>
          <w:szCs w:val="28"/>
        </w:rPr>
        <w:t xml:space="preserve">ань на заробітну плату у жовтні місяці на суму 9250,00 грн., у листопаді місяці на суму 9000,000 грн., у грудні місяці на суму 6950,00 грн., відповідно збільшити кошторисні призначення за вказаним напрямком у червні місяці на суму  </w:t>
      </w:r>
      <w:r>
        <w:rPr>
          <w:szCs w:val="28"/>
        </w:rPr>
        <w:t xml:space="preserve">25200</w:t>
      </w:r>
      <w:r>
        <w:rPr>
          <w:szCs w:val="28"/>
        </w:rPr>
        <w:t xml:space="preserve">,00 грн. 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</w:t>
      </w:r>
      <w:r>
        <w:rPr>
          <w:szCs w:val="28"/>
        </w:rPr>
        <w:t xml:space="preserve">21</w:t>
      </w:r>
      <w:r>
        <w:rPr>
          <w:szCs w:val="28"/>
        </w:rPr>
        <w:t xml:space="preserve"> КЕКВ 2</w:t>
      </w:r>
      <w:r>
        <w:rPr>
          <w:szCs w:val="28"/>
        </w:rPr>
        <w:t xml:space="preserve">120</w:t>
      </w:r>
      <w:r>
        <w:rPr>
          <w:szCs w:val="28"/>
        </w:rPr>
        <w:t xml:space="preserve">);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</w:t>
      </w:r>
      <w:r>
        <w:rPr>
          <w:szCs w:val="28"/>
        </w:rPr>
        <w:t xml:space="preserve">меншити кошторисні призначення для оплати послуг (крім комунальних) у жовтні місяці на суму </w:t>
      </w:r>
      <w:r>
        <w:rPr>
          <w:szCs w:val="28"/>
        </w:rPr>
        <w:t xml:space="preserve">4000</w:t>
      </w:r>
      <w:r>
        <w:rPr>
          <w:szCs w:val="28"/>
        </w:rPr>
        <w:t xml:space="preserve">,00 грн., у листопаді місяці на суму </w:t>
      </w:r>
      <w:r>
        <w:rPr>
          <w:szCs w:val="28"/>
        </w:rPr>
        <w:t xml:space="preserve">4000</w:t>
      </w:r>
      <w:r>
        <w:rPr>
          <w:szCs w:val="28"/>
        </w:rPr>
        <w:t xml:space="preserve">,00 грн., у грудні місяці на суму </w:t>
      </w:r>
      <w:r>
        <w:rPr>
          <w:szCs w:val="28"/>
        </w:rPr>
        <w:t xml:space="preserve">4000</w:t>
      </w:r>
      <w:r>
        <w:rPr>
          <w:szCs w:val="28"/>
        </w:rPr>
        <w:t xml:space="preserve">,00 грн., відповід</w:t>
      </w:r>
      <w:r>
        <w:rPr>
          <w:szCs w:val="28"/>
        </w:rPr>
        <w:t xml:space="preserve">но збільшити кошторисні призначення за вказаним напрямком у червні місяці на суму </w:t>
      </w:r>
      <w:r>
        <w:rPr>
          <w:szCs w:val="28"/>
        </w:rPr>
        <w:t xml:space="preserve">12000</w:t>
      </w:r>
      <w:r>
        <w:rPr>
          <w:szCs w:val="28"/>
        </w:rPr>
        <w:t xml:space="preserve">,00 грн. (оплата за </w:t>
      </w:r>
      <w:r>
        <w:rPr>
          <w:szCs w:val="28"/>
        </w:rPr>
        <w:t xml:space="preserve">періодичний профілактичний огляд працівників)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</w:t>
      </w:r>
      <w:r>
        <w:rPr>
          <w:szCs w:val="28"/>
        </w:rPr>
        <w:t xml:space="preserve">21</w:t>
      </w:r>
      <w:r>
        <w:rPr>
          <w:szCs w:val="28"/>
        </w:rPr>
        <w:t xml:space="preserve"> КЕКВ 2240);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оплати за електроенергію у грудні місяці на суму </w:t>
      </w:r>
      <w:r>
        <w:rPr>
          <w:szCs w:val="28"/>
        </w:rPr>
        <w:t xml:space="preserve">5000</w:t>
      </w:r>
      <w:r>
        <w:rPr>
          <w:szCs w:val="28"/>
        </w:rPr>
        <w:t xml:space="preserve">,00 грн., відповідно збільшити кошторисні призначення за вказаним напрямком у червні місяці на </w:t>
      </w:r>
      <w:r>
        <w:rPr>
          <w:szCs w:val="28"/>
        </w:rPr>
        <w:t xml:space="preserve">таку ж </w:t>
      </w:r>
      <w:r>
        <w:rPr>
          <w:szCs w:val="28"/>
        </w:rPr>
        <w:t xml:space="preserve">суму 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</w:t>
      </w:r>
      <w:r>
        <w:rPr>
          <w:szCs w:val="28"/>
        </w:rPr>
        <w:t xml:space="preserve">21</w:t>
      </w:r>
      <w:r>
        <w:rPr>
          <w:szCs w:val="28"/>
        </w:rPr>
        <w:t xml:space="preserve"> КЕКВ 2273);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придбання предметів, матеріалів, обладнання та інвентарю у жовтні місяці</w:t>
      </w:r>
      <w:r>
        <w:rPr>
          <w:szCs w:val="28"/>
        </w:rPr>
        <w:t xml:space="preserve"> на суму </w:t>
      </w:r>
      <w:r>
        <w:rPr>
          <w:szCs w:val="28"/>
        </w:rPr>
        <w:t xml:space="preserve">20000</w:t>
      </w:r>
      <w:r>
        <w:rPr>
          <w:szCs w:val="28"/>
        </w:rPr>
        <w:t xml:space="preserve">,00 грн., у листопаді місяці на суму 1</w:t>
      </w:r>
      <w:r>
        <w:rPr>
          <w:szCs w:val="28"/>
        </w:rPr>
        <w:t xml:space="preserve">5</w:t>
      </w:r>
      <w:r>
        <w:rPr>
          <w:szCs w:val="28"/>
        </w:rPr>
        <w:t xml:space="preserve">00,000 грн., у грудні місяці на суму </w:t>
      </w:r>
      <w:r>
        <w:rPr>
          <w:szCs w:val="28"/>
        </w:rPr>
        <w:t xml:space="preserve">3522</w:t>
      </w:r>
      <w:r>
        <w:rPr>
          <w:szCs w:val="28"/>
        </w:rPr>
        <w:t xml:space="preserve">,00 грн., відповідно збільшити кошторисні призначення</w:t>
      </w:r>
      <w:r>
        <w:rPr>
          <w:szCs w:val="28"/>
        </w:rPr>
        <w:t xml:space="preserve"> у червні місяці для оплати послуг (крім комунальних) на суму 20022,00 грн.  та для оплати відрядних на суму 5000,00 (оплата профілактичного медичного огляду та відрядних для вчителів предмету «Захист України»)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0611021 КЕКВ 2210 -</w:t>
      </w:r>
      <w:r>
        <w:rPr>
          <w:szCs w:val="28"/>
          <w:lang w:val="en-US"/>
        </w:rPr>
        <w:t xml:space="preserve">25022</w:t>
      </w:r>
      <w:r>
        <w:rPr>
          <w:szCs w:val="28"/>
        </w:rPr>
        <w:t xml:space="preserve">,00 грн., КЕКВ 2240 +20022,00 грн., КЕКВ 2250 +5000,00 грн.).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</w:t>
      </w:r>
      <w:r>
        <w:rPr>
          <w:szCs w:val="28"/>
        </w:rPr>
        <w:t xml:space="preserve"> Відділу </w:t>
      </w:r>
      <w:r>
        <w:rPr>
          <w:color w:val="000000" w:themeColor="text1"/>
          <w:shd w:val="clear" w:color="auto" w:fill="ffffff"/>
        </w:rPr>
        <w:t xml:space="preserve">освіти </w:t>
      </w:r>
      <w:r>
        <w:rPr>
          <w:szCs w:val="28"/>
        </w:rPr>
        <w:t xml:space="preserve">Менської міської ради із забезпечення діяльності інших закладів у сфері освіти</w:t>
      </w:r>
      <w:r>
        <w:rPr>
          <w:szCs w:val="28"/>
        </w:rPr>
        <w:t xml:space="preserve">, а саме:</w:t>
      </w:r>
      <w:r>
        <w:rPr>
          <w:szCs w:val="28"/>
        </w:rPr>
        <w:t xml:space="preserve"> зменшити кошторисні приз</w:t>
      </w:r>
      <w:r>
        <w:rPr>
          <w:szCs w:val="28"/>
        </w:rPr>
        <w:t xml:space="preserve">начення для оплати за електроенергію у жовтні місяці на суму 2500,00 грн., у листопаді місяці на суму 3000,00 грн., у грудні місяці на суму 2000,00 грн., відповідно збільшити кошторисні призначення за вказаним напрямком у червні місяці на суму 7500,00 грн.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0611141 КЕКВ 2273).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 w:themeColor="text1"/>
          <w:shd w:val="clear" w:color="auto" w:fill="ffffff"/>
        </w:rPr>
        <w:t xml:space="preserve">Внести </w:t>
      </w:r>
      <w:r>
        <w:rPr>
          <w:szCs w:val="28"/>
        </w:rPr>
        <w:t xml:space="preserve">зміни до річного та помісячного розпису видатків загального фонду Відділу освіти Менської міс</w:t>
      </w:r>
      <w:r>
        <w:rPr>
          <w:szCs w:val="28"/>
        </w:rPr>
        <w:t xml:space="preserve">ької ради </w:t>
      </w:r>
      <w:r>
        <w:rPr>
          <w:szCs w:val="28"/>
        </w:rPr>
        <w:t xml:space="preserve">і</w:t>
      </w:r>
      <w:r>
        <w:rPr>
          <w:szCs w:val="28"/>
        </w:rPr>
        <w:t xml:space="preserve">з </w:t>
      </w:r>
      <w:r>
        <w:rPr>
          <w:szCs w:val="28"/>
        </w:rPr>
        <w:t xml:space="preserve">забезпечення діяльності центрів професійного розвитку педагогічних працівників, а саме: 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оплати послуг (крім комунальних) у квітні місяці на суму 400,00 грн., у травні місяці на суму 500,00 грн., у червні мі</w:t>
      </w:r>
      <w:r>
        <w:rPr>
          <w:szCs w:val="28"/>
        </w:rPr>
        <w:t xml:space="preserve">сяці на суму 500,00 грн., у липні місяці на суму 500,00 грн., у серпні місяці на суму 500,00 грн., у вересні місяці на суму 500,00 грн., у жовтні місяці на суму 500,00 грн., у листопаді місяці на суму 300,00 грн., у грудні місяці на суму 300,00 грн. також </w:t>
      </w:r>
      <w:r>
        <w:rPr>
          <w:szCs w:val="28"/>
        </w:rPr>
        <w:t xml:space="preserve">зменшити кошторисні призначення на оплату окремих заходів по р</w:t>
      </w:r>
      <w:r>
        <w:rPr>
          <w:szCs w:val="28"/>
        </w:rPr>
        <w:t xml:space="preserve">еалізації державних (регіональних) програм, не віднесених до заходів розвитку у травні місяці на суму 200,00 грн., відповідно збільшити кошторисні призначення для придбання предметів, матеріалів, обладнання та інвентарю у червні місяці на суму 4200,00 грн.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придбання предметів, матеріалів, обладнання та інвентарю у липні місяці на суму 2000,00 грн., у серпні місяці на суму 500,00 грн.</w:t>
      </w:r>
      <w:r>
        <w:rPr>
          <w:szCs w:val="28"/>
        </w:rPr>
        <w:t xml:space="preserve">, у вересні місяці на суму 500,00 грн., у жовтні місяці на суму 500,00 грн., у листопаді місяці на суму 500,00 грн., у грудні місяці на суму 500,00 грн., відповідно збільшити кошторисні призначення за вказаним напрямком у червні місяці на суму 4500,00 грн.</w:t>
      </w:r>
      <w:r>
        <w:rPr>
          <w:szCs w:val="28"/>
        </w:rPr>
        <w:t xml:space="preserve"> </w:t>
      </w:r>
      <w:r>
        <w:rPr>
          <w:szCs w:val="28"/>
        </w:rPr>
        <w:t xml:space="preserve">(придбання меблів для КУ «Центр професійного розвитку педагогічних працівників» Менської м</w:t>
      </w:r>
      <w:r>
        <w:rPr>
          <w:szCs w:val="28"/>
        </w:rPr>
        <w:t xml:space="preserve">іської ради)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0611160 КЕКВ 2240 -4000,00 грн., КЕКВ 2282 -200,00 грн., КЕКВ 2210 +4200,00 грн.).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</w:t>
      </w:r>
      <w:r>
        <w:rPr>
          <w:szCs w:val="28"/>
        </w:rPr>
        <w:t xml:space="preserve">до річного та помісячного розпису видатків загального</w:t>
      </w:r>
      <w:r>
        <w:rPr>
          <w:color w:val="000000" w:themeColor="text1"/>
          <w:shd w:val="clear" w:color="auto" w:fill="ffffff"/>
        </w:rPr>
      </w:r>
      <w:r>
        <w:rPr>
          <w:szCs w:val="28"/>
        </w:rPr>
        <w:t xml:space="preserve"> фонду Відділу освіти Менської міської ради з розвитку здібностей у дітей та молоді фізичної культури та спорту комунальними дитячо-юнацькими спортивними школами, а саме: 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зменшити кошторисні призначення для оплати послуг (крім комунальних) у серпні місяці на суму 667,00 грн., у вересні місяці на суму 2800,00 грн. та для придбання обладнання і предметів </w:t>
      </w:r>
      <w:r>
        <w:rPr>
          <w:szCs w:val="28"/>
        </w:rPr>
        <w:t xml:space="preserve">довгострокового користування у травні місяці на суму 279,00 грн., відповідно збільшити кошторисні призначення для придбання предметів, матеріалів, обладнання та інвентарю у червні місяці на суму 3746,00 грн.;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</w:r>
      <w:r/>
      <w:r>
        <w:rPr>
          <w:szCs w:val="28"/>
        </w:rPr>
        <w:t xml:space="preserve">зменшити к</w:t>
      </w:r>
      <w:r>
        <w:rPr>
          <w:szCs w:val="28"/>
        </w:rPr>
        <w:t xml:space="preserve">ошторисні призначення для придбання предметів, матеріалів, обладнання та інвентарю у липні місяці на суму 1431,00 грн., відповідно збільшити кошторисні призначення за вказаним напрямком у червні місяці на таку ж суму (придбання господарських товарів та дез</w:t>
      </w:r>
      <w:r>
        <w:rPr>
          <w:szCs w:val="28"/>
        </w:rPr>
        <w:t xml:space="preserve">і</w:t>
      </w:r>
      <w:r>
        <w:rPr>
          <w:szCs w:val="28"/>
        </w:rPr>
        <w:t xml:space="preserve">нфікуючих </w:t>
      </w:r>
      <w:r>
        <w:rPr>
          <w:szCs w:val="28"/>
        </w:rPr>
        <w:t xml:space="preserve">засобів)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</w:r>
      <w:r/>
      <w:r>
        <w:rPr>
          <w:szCs w:val="28"/>
        </w:rPr>
        <w:t xml:space="preserve">(КПКВК 0615031 КЕ</w:t>
      </w:r>
      <w:r>
        <w:rPr>
          <w:szCs w:val="28"/>
        </w:rPr>
        <w:t xml:space="preserve">КВ 2240 -3467,00 грн., КЕКВ 3110 -279,00 грн., КЕКВ 2210 +3746,00 грн.)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/>
      <w:r>
        <w:rPr>
          <w:color w:val="000000" w:themeColor="text1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56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0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0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5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9"/>
  </w:num>
  <w:num w:numId="5">
    <w:abstractNumId w:val="16"/>
  </w:num>
  <w:num w:numId="6">
    <w:abstractNumId w:val="2"/>
  </w:num>
  <w:num w:numId="7">
    <w:abstractNumId w:val="14"/>
  </w:num>
  <w:num w:numId="8">
    <w:abstractNumId w:val="12"/>
  </w:num>
  <w:num w:numId="9">
    <w:abstractNumId w:val="7"/>
  </w:num>
  <w:num w:numId="10">
    <w:abstractNumId w:val="3"/>
  </w:num>
  <w:num w:numId="11">
    <w:abstractNumId w:val="6"/>
  </w:num>
  <w:num w:numId="12">
    <w:abstractNumId w:val="4"/>
  </w:num>
  <w:num w:numId="13">
    <w:abstractNumId w:val="17"/>
  </w:num>
  <w:num w:numId="14">
    <w:abstractNumId w:val="18"/>
  </w:num>
  <w:num w:numId="15">
    <w:abstractNumId w:val="15"/>
  </w:num>
  <w:num w:numId="16">
    <w:abstractNumId w:val="19"/>
  </w:num>
  <w:num w:numId="17">
    <w:abstractNumId w:val="1"/>
  </w:num>
  <w:num w:numId="18">
    <w:abstractNumId w:val="5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Table Grid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Heading 1"/>
    <w:basedOn w:val="802"/>
    <w:next w:val="802"/>
    <w:link w:val="86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8">
    <w:name w:val="Heading 2"/>
    <w:basedOn w:val="802"/>
    <w:next w:val="802"/>
    <w:link w:val="86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9">
    <w:name w:val="Heading 3"/>
    <w:basedOn w:val="802"/>
    <w:next w:val="802"/>
    <w:link w:val="86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0">
    <w:name w:val="Heading 4"/>
    <w:basedOn w:val="802"/>
    <w:next w:val="802"/>
    <w:link w:val="86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1">
    <w:name w:val="Heading 5"/>
    <w:basedOn w:val="802"/>
    <w:next w:val="802"/>
    <w:link w:val="86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2">
    <w:name w:val="Heading 6"/>
    <w:basedOn w:val="802"/>
    <w:next w:val="802"/>
    <w:link w:val="87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3">
    <w:name w:val="Heading 7"/>
    <w:basedOn w:val="802"/>
    <w:next w:val="802"/>
    <w:link w:val="87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4">
    <w:name w:val="Heading 8"/>
    <w:basedOn w:val="802"/>
    <w:next w:val="802"/>
    <w:link w:val="87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5">
    <w:name w:val="Heading 9"/>
    <w:basedOn w:val="802"/>
    <w:next w:val="802"/>
    <w:link w:val="87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6" w:default="1">
    <w:name w:val="Default Paragraph Font"/>
    <w:uiPriority w:val="1"/>
    <w:semiHidden/>
    <w:unhideWhenUsed/>
    <w:pPr>
      <w:pBdr/>
      <w:spacing/>
      <w:ind/>
    </w:pPr>
  </w:style>
  <w:style w:type="numbering" w:styleId="767" w:default="1">
    <w:name w:val="No List"/>
    <w:uiPriority w:val="99"/>
    <w:semiHidden/>
    <w:unhideWhenUsed/>
    <w:pPr>
      <w:pBdr/>
      <w:spacing/>
      <w:ind/>
    </w:pPr>
  </w:style>
  <w:style w:type="paragraph" w:styleId="768">
    <w:name w:val="Title"/>
    <w:basedOn w:val="802"/>
    <w:next w:val="802"/>
    <w:link w:val="87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9">
    <w:name w:val="Subtitle"/>
    <w:basedOn w:val="802"/>
    <w:next w:val="802"/>
    <w:link w:val="87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0">
    <w:name w:val="Quote"/>
    <w:basedOn w:val="802"/>
    <w:next w:val="802"/>
    <w:link w:val="87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1">
    <w:name w:val="List Paragraph"/>
    <w:basedOn w:val="802"/>
    <w:uiPriority w:val="34"/>
    <w:qFormat/>
    <w:pPr>
      <w:pBdr/>
      <w:spacing/>
      <w:ind w:left="720"/>
      <w:contextualSpacing w:val="true"/>
    </w:pPr>
  </w:style>
  <w:style w:type="character" w:styleId="772">
    <w:name w:val="Intense Emphasis"/>
    <w:basedOn w:val="76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3">
    <w:name w:val="Intense Quote"/>
    <w:basedOn w:val="802"/>
    <w:next w:val="802"/>
    <w:link w:val="87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4">
    <w:name w:val="Intense Reference"/>
    <w:basedOn w:val="76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5">
    <w:name w:val="No Spacing"/>
    <w:basedOn w:val="802"/>
    <w:uiPriority w:val="1"/>
    <w:qFormat/>
    <w:pPr>
      <w:pBdr/>
      <w:spacing w:after="0" w:line="240" w:lineRule="auto"/>
      <w:ind/>
    </w:pPr>
  </w:style>
  <w:style w:type="character" w:styleId="776">
    <w:name w:val="Subtle Emphasis"/>
    <w:basedOn w:val="76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7">
    <w:name w:val="Emphasis"/>
    <w:basedOn w:val="766"/>
    <w:uiPriority w:val="20"/>
    <w:qFormat/>
    <w:pPr>
      <w:pBdr/>
      <w:spacing/>
      <w:ind/>
    </w:pPr>
    <w:rPr>
      <w:i/>
      <w:iCs/>
    </w:rPr>
  </w:style>
  <w:style w:type="character" w:styleId="778">
    <w:name w:val="Strong"/>
    <w:basedOn w:val="766"/>
    <w:uiPriority w:val="22"/>
    <w:qFormat/>
    <w:pPr>
      <w:pBdr/>
      <w:spacing/>
      <w:ind/>
    </w:pPr>
    <w:rPr>
      <w:b/>
      <w:bCs/>
    </w:rPr>
  </w:style>
  <w:style w:type="character" w:styleId="779">
    <w:name w:val="Subtle Reference"/>
    <w:basedOn w:val="76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0">
    <w:name w:val="Book Title"/>
    <w:basedOn w:val="76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1">
    <w:name w:val="Header"/>
    <w:basedOn w:val="802"/>
    <w:link w:val="8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2">
    <w:name w:val="Footer"/>
    <w:basedOn w:val="802"/>
    <w:link w:val="8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3">
    <w:name w:val="Caption"/>
    <w:basedOn w:val="802"/>
    <w:next w:val="80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4">
    <w:name w:val="footnote text"/>
    <w:basedOn w:val="802"/>
    <w:link w:val="8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5">
    <w:name w:val="foot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paragraph" w:styleId="786">
    <w:name w:val="endnote text"/>
    <w:basedOn w:val="802"/>
    <w:link w:val="9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end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character" w:styleId="788">
    <w:name w:val="Hyperlink"/>
    <w:basedOn w:val="76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9">
    <w:name w:val="FollowedHyperlink"/>
    <w:basedOn w:val="76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0">
    <w:name w:val="toc 1"/>
    <w:basedOn w:val="802"/>
    <w:next w:val="802"/>
    <w:uiPriority w:val="39"/>
    <w:unhideWhenUsed/>
    <w:pPr>
      <w:pBdr/>
      <w:spacing w:after="100"/>
      <w:ind/>
    </w:pPr>
  </w:style>
  <w:style w:type="paragraph" w:styleId="791">
    <w:name w:val="toc 2"/>
    <w:basedOn w:val="802"/>
    <w:next w:val="802"/>
    <w:uiPriority w:val="39"/>
    <w:unhideWhenUsed/>
    <w:pPr>
      <w:pBdr/>
      <w:spacing w:after="100"/>
      <w:ind w:left="220"/>
    </w:pPr>
  </w:style>
  <w:style w:type="paragraph" w:styleId="792">
    <w:name w:val="toc 3"/>
    <w:basedOn w:val="802"/>
    <w:next w:val="802"/>
    <w:uiPriority w:val="39"/>
    <w:unhideWhenUsed/>
    <w:pPr>
      <w:pBdr/>
      <w:spacing w:after="100"/>
      <w:ind w:left="440"/>
    </w:pPr>
  </w:style>
  <w:style w:type="paragraph" w:styleId="793">
    <w:name w:val="toc 4"/>
    <w:basedOn w:val="802"/>
    <w:next w:val="802"/>
    <w:uiPriority w:val="39"/>
    <w:unhideWhenUsed/>
    <w:pPr>
      <w:pBdr/>
      <w:spacing w:after="100"/>
      <w:ind w:left="660"/>
    </w:pPr>
  </w:style>
  <w:style w:type="paragraph" w:styleId="794">
    <w:name w:val="toc 5"/>
    <w:basedOn w:val="802"/>
    <w:next w:val="802"/>
    <w:uiPriority w:val="39"/>
    <w:unhideWhenUsed/>
    <w:pPr>
      <w:pBdr/>
      <w:spacing w:after="100"/>
      <w:ind w:left="880"/>
    </w:pPr>
  </w:style>
  <w:style w:type="paragraph" w:styleId="795">
    <w:name w:val="toc 6"/>
    <w:basedOn w:val="802"/>
    <w:next w:val="802"/>
    <w:uiPriority w:val="39"/>
    <w:unhideWhenUsed/>
    <w:pPr>
      <w:pBdr/>
      <w:spacing w:after="100"/>
      <w:ind w:left="1100"/>
    </w:pPr>
  </w:style>
  <w:style w:type="paragraph" w:styleId="796">
    <w:name w:val="toc 7"/>
    <w:basedOn w:val="802"/>
    <w:next w:val="802"/>
    <w:uiPriority w:val="39"/>
    <w:unhideWhenUsed/>
    <w:pPr>
      <w:pBdr/>
      <w:spacing w:after="100"/>
      <w:ind w:left="1320"/>
    </w:pPr>
  </w:style>
  <w:style w:type="paragraph" w:styleId="797">
    <w:name w:val="toc 8"/>
    <w:basedOn w:val="802"/>
    <w:next w:val="802"/>
    <w:uiPriority w:val="39"/>
    <w:unhideWhenUsed/>
    <w:pPr>
      <w:pBdr/>
      <w:spacing w:after="100"/>
      <w:ind w:left="1540"/>
    </w:pPr>
  </w:style>
  <w:style w:type="paragraph" w:styleId="798">
    <w:name w:val="toc 9"/>
    <w:basedOn w:val="802"/>
    <w:next w:val="802"/>
    <w:uiPriority w:val="39"/>
    <w:unhideWhenUsed/>
    <w:pPr>
      <w:pBdr/>
      <w:spacing w:after="100"/>
      <w:ind w:left="1760"/>
    </w:pPr>
  </w:style>
  <w:style w:type="character" w:styleId="799">
    <w:name w:val="Placeholder Text"/>
    <w:basedOn w:val="766"/>
    <w:uiPriority w:val="99"/>
    <w:semiHidden/>
    <w:pPr>
      <w:pBdr/>
      <w:spacing/>
      <w:ind/>
    </w:pPr>
    <w:rPr>
      <w:color w:val="666666"/>
    </w:rPr>
  </w:style>
  <w:style w:type="paragraph" w:styleId="800">
    <w:name w:val="TOC Heading"/>
    <w:uiPriority w:val="39"/>
    <w:unhideWhenUsed/>
    <w:pPr>
      <w:pBdr/>
      <w:spacing/>
      <w:ind/>
    </w:pPr>
  </w:style>
  <w:style w:type="paragraph" w:styleId="801">
    <w:name w:val="table of figures"/>
    <w:basedOn w:val="802"/>
    <w:next w:val="802"/>
    <w:uiPriority w:val="99"/>
    <w:unhideWhenUsed/>
    <w:pPr>
      <w:pBdr/>
      <w:spacing w:after="0" w:afterAutospacing="0"/>
      <w:ind/>
    </w:pPr>
  </w:style>
  <w:style w:type="paragraph" w:styleId="802" w:default="1">
    <w:name w:val="Normal"/>
    <w:next w:val="802"/>
    <w:link w:val="802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803">
    <w:name w:val="Заголовок 1"/>
    <w:basedOn w:val="802"/>
    <w:next w:val="802"/>
    <w:link w:val="99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04">
    <w:name w:val="Заголовок 2"/>
    <w:basedOn w:val="802"/>
    <w:next w:val="802"/>
    <w:link w:val="99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05">
    <w:name w:val="Заголовок 3"/>
    <w:basedOn w:val="802"/>
    <w:next w:val="802"/>
    <w:link w:val="99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06">
    <w:name w:val="Заголовок 4"/>
    <w:basedOn w:val="802"/>
    <w:next w:val="802"/>
    <w:link w:val="99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07">
    <w:name w:val="Заголовок 5"/>
    <w:basedOn w:val="802"/>
    <w:next w:val="802"/>
    <w:link w:val="99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08">
    <w:name w:val="Заголовок 6"/>
    <w:basedOn w:val="802"/>
    <w:next w:val="802"/>
    <w:link w:val="99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09">
    <w:name w:val="Заголовок 7"/>
    <w:basedOn w:val="802"/>
    <w:next w:val="802"/>
    <w:link w:val="99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10">
    <w:name w:val="Заголовок 8"/>
    <w:basedOn w:val="802"/>
    <w:next w:val="802"/>
    <w:link w:val="99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11">
    <w:name w:val="Заголовок 9"/>
    <w:basedOn w:val="802"/>
    <w:next w:val="802"/>
    <w:link w:val="99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2">
    <w:name w:val="Шрифт абзацу за замовчуванням"/>
    <w:next w:val="812"/>
    <w:link w:val="802"/>
    <w:uiPriority w:val="1"/>
    <w:semiHidden/>
    <w:unhideWhenUsed/>
    <w:pPr>
      <w:pBdr/>
      <w:spacing/>
      <w:ind/>
    </w:pPr>
  </w:style>
  <w:style w:type="table" w:styleId="813">
    <w:name w:val="Звичайна таблиця"/>
    <w:next w:val="813"/>
    <w:link w:val="802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4">
    <w:name w:val="Немає списку"/>
    <w:next w:val="814"/>
    <w:link w:val="802"/>
    <w:uiPriority w:val="99"/>
    <w:semiHidden/>
    <w:unhideWhenUsed/>
    <w:pPr>
      <w:pBdr/>
      <w:spacing/>
      <w:ind/>
    </w:pPr>
  </w:style>
  <w:style w:type="table" w:styleId="815">
    <w:name w:val="Plain Table 1"/>
    <w:basedOn w:val="813"/>
    <w:next w:val="815"/>
    <w:link w:val="802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2"/>
    <w:basedOn w:val="813"/>
    <w:next w:val="816"/>
    <w:link w:val="802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3"/>
    <w:basedOn w:val="813"/>
    <w:next w:val="817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4"/>
    <w:basedOn w:val="813"/>
    <w:next w:val="818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5"/>
    <w:basedOn w:val="813"/>
    <w:next w:val="819"/>
    <w:link w:val="80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"/>
    <w:basedOn w:val="813"/>
    <w:next w:val="820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2"/>
    <w:basedOn w:val="813"/>
    <w:next w:val="821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"/>
    <w:basedOn w:val="813"/>
    <w:next w:val="822"/>
    <w:link w:val="80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"/>
    <w:basedOn w:val="813"/>
    <w:next w:val="823"/>
    <w:link w:val="802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"/>
    <w:basedOn w:val="813"/>
    <w:next w:val="824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"/>
    <w:basedOn w:val="813"/>
    <w:next w:val="825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7 Colorful"/>
    <w:basedOn w:val="813"/>
    <w:next w:val="826"/>
    <w:link w:val="80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"/>
    <w:basedOn w:val="813"/>
    <w:next w:val="827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"/>
    <w:basedOn w:val="813"/>
    <w:next w:val="828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"/>
    <w:basedOn w:val="813"/>
    <w:next w:val="829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"/>
    <w:basedOn w:val="813"/>
    <w:next w:val="830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"/>
    <w:basedOn w:val="813"/>
    <w:next w:val="831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"/>
    <w:basedOn w:val="813"/>
    <w:next w:val="832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"/>
    <w:basedOn w:val="813"/>
    <w:next w:val="833"/>
    <w:link w:val="80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4">
    <w:name w:val="Сильне виокремлення"/>
    <w:next w:val="834"/>
    <w:link w:val="802"/>
    <w:uiPriority w:val="21"/>
    <w:qFormat/>
    <w:pPr>
      <w:pBdr/>
      <w:spacing/>
      <w:ind/>
    </w:pPr>
    <w:rPr>
      <w:i/>
      <w:iCs/>
      <w:color w:val="365f91"/>
    </w:rPr>
  </w:style>
  <w:style w:type="character" w:styleId="835">
    <w:name w:val="Сильне посилання"/>
    <w:next w:val="835"/>
    <w:link w:val="80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36">
    <w:name w:val="Слабке виокремлення"/>
    <w:next w:val="836"/>
    <w:link w:val="802"/>
    <w:uiPriority w:val="19"/>
    <w:qFormat/>
    <w:pPr>
      <w:pBdr/>
      <w:spacing/>
      <w:ind/>
    </w:pPr>
    <w:rPr>
      <w:i/>
      <w:iCs/>
      <w:color w:val="404040"/>
    </w:rPr>
  </w:style>
  <w:style w:type="character" w:styleId="837">
    <w:name w:val="Виділення"/>
    <w:next w:val="837"/>
    <w:link w:val="802"/>
    <w:uiPriority w:val="20"/>
    <w:qFormat/>
    <w:pPr>
      <w:pBdr/>
      <w:spacing/>
      <w:ind/>
    </w:pPr>
    <w:rPr>
      <w:i/>
      <w:iCs/>
    </w:rPr>
  </w:style>
  <w:style w:type="character" w:styleId="838">
    <w:name w:val="Строгий"/>
    <w:next w:val="838"/>
    <w:link w:val="802"/>
    <w:uiPriority w:val="22"/>
    <w:qFormat/>
    <w:pPr>
      <w:pBdr/>
      <w:spacing/>
      <w:ind/>
    </w:pPr>
    <w:rPr>
      <w:b/>
      <w:bCs/>
    </w:rPr>
  </w:style>
  <w:style w:type="character" w:styleId="839">
    <w:name w:val="Слабке посилання"/>
    <w:next w:val="839"/>
    <w:link w:val="802"/>
    <w:uiPriority w:val="31"/>
    <w:qFormat/>
    <w:pPr>
      <w:pBdr/>
      <w:spacing/>
      <w:ind/>
    </w:pPr>
    <w:rPr>
      <w:smallCaps/>
      <w:color w:val="5a5a5a"/>
    </w:rPr>
  </w:style>
  <w:style w:type="character" w:styleId="840">
    <w:name w:val="Назва книги"/>
    <w:next w:val="840"/>
    <w:link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41">
    <w:name w:val="Переглянуте гіперпосилання"/>
    <w:next w:val="841"/>
    <w:link w:val="80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42">
    <w:name w:val="Заголовок змісту"/>
    <w:next w:val="842"/>
    <w:link w:val="802"/>
    <w:uiPriority w:val="39"/>
    <w:unhideWhenUsed/>
    <w:pPr>
      <w:pBdr/>
      <w:spacing/>
      <w:ind/>
    </w:pPr>
    <w:rPr>
      <w:lang w:val="uk-UA" w:eastAsia="uk-UA" w:bidi="ar-SA"/>
    </w:rPr>
  </w:style>
  <w:style w:type="character" w:styleId="843">
    <w:name w:val="Знак виноски"/>
    <w:next w:val="843"/>
    <w:link w:val="802"/>
    <w:uiPriority w:val="99"/>
    <w:unhideWhenUsed/>
    <w:qFormat/>
    <w:pPr>
      <w:pBdr/>
      <w:spacing/>
      <w:ind/>
    </w:pPr>
    <w:rPr>
      <w:vertAlign w:val="superscript"/>
    </w:rPr>
  </w:style>
  <w:style w:type="character" w:styleId="844">
    <w:name w:val="Знак кінцевої виноски"/>
    <w:next w:val="844"/>
    <w:link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5">
    <w:name w:val="Гіперпосилання"/>
    <w:next w:val="845"/>
    <w:link w:val="802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46">
    <w:name w:val="Текст у виносці"/>
    <w:basedOn w:val="802"/>
    <w:next w:val="846"/>
    <w:link w:val="103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47">
    <w:name w:val="Текст кінцевої виноски"/>
    <w:basedOn w:val="802"/>
    <w:next w:val="847"/>
    <w:link w:val="902"/>
    <w:uiPriority w:val="99"/>
    <w:semiHidden/>
    <w:unhideWhenUsed/>
    <w:qFormat/>
    <w:pPr>
      <w:pBdr/>
      <w:spacing/>
      <w:ind/>
    </w:pPr>
    <w:rPr>
      <w:sz w:val="20"/>
    </w:rPr>
  </w:style>
  <w:style w:type="paragraph" w:styleId="848">
    <w:name w:val="Назва об'єкта"/>
    <w:basedOn w:val="802"/>
    <w:next w:val="802"/>
    <w:link w:val="802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49">
    <w:name w:val="Текст виноски"/>
    <w:basedOn w:val="802"/>
    <w:next w:val="849"/>
    <w:link w:val="1030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50">
    <w:name w:val="Зміст 8"/>
    <w:basedOn w:val="802"/>
    <w:next w:val="802"/>
    <w:link w:val="802"/>
    <w:uiPriority w:val="39"/>
    <w:unhideWhenUsed/>
    <w:pPr>
      <w:pBdr/>
      <w:spacing w:after="57"/>
      <w:ind w:firstLine="0" w:left="1984"/>
    </w:pPr>
  </w:style>
  <w:style w:type="paragraph" w:styleId="851">
    <w:name w:val="Верхній колонтитул"/>
    <w:basedOn w:val="802"/>
    <w:next w:val="851"/>
    <w:link w:val="1007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2">
    <w:name w:val="Зміст 9"/>
    <w:basedOn w:val="802"/>
    <w:next w:val="802"/>
    <w:link w:val="802"/>
    <w:uiPriority w:val="39"/>
    <w:unhideWhenUsed/>
    <w:pPr>
      <w:pBdr/>
      <w:spacing w:after="57"/>
      <w:ind w:firstLine="0" w:left="2268"/>
    </w:pPr>
  </w:style>
  <w:style w:type="paragraph" w:styleId="853">
    <w:name w:val="Зміст 7"/>
    <w:basedOn w:val="802"/>
    <w:next w:val="802"/>
    <w:link w:val="802"/>
    <w:uiPriority w:val="39"/>
    <w:unhideWhenUsed/>
    <w:pPr>
      <w:pBdr/>
      <w:spacing w:after="57"/>
      <w:ind w:firstLine="0" w:left="1701"/>
    </w:pPr>
  </w:style>
  <w:style w:type="paragraph" w:styleId="854">
    <w:name w:val="Зміст 1"/>
    <w:basedOn w:val="802"/>
    <w:next w:val="802"/>
    <w:link w:val="802"/>
    <w:uiPriority w:val="39"/>
    <w:unhideWhenUsed/>
    <w:qFormat/>
    <w:pPr>
      <w:pBdr/>
      <w:spacing w:after="57"/>
      <w:ind w:firstLine="0"/>
    </w:pPr>
  </w:style>
  <w:style w:type="paragraph" w:styleId="855">
    <w:name w:val="Зміст 6"/>
    <w:basedOn w:val="802"/>
    <w:next w:val="802"/>
    <w:link w:val="802"/>
    <w:uiPriority w:val="39"/>
    <w:unhideWhenUsed/>
    <w:qFormat/>
    <w:pPr>
      <w:pBdr/>
      <w:spacing w:after="57"/>
      <w:ind w:firstLine="0" w:left="1417"/>
    </w:pPr>
  </w:style>
  <w:style w:type="paragraph" w:styleId="856">
    <w:name w:val="Перелік рисунків"/>
    <w:basedOn w:val="802"/>
    <w:next w:val="802"/>
    <w:link w:val="802"/>
    <w:uiPriority w:val="99"/>
    <w:unhideWhenUsed/>
    <w:qFormat/>
    <w:pPr>
      <w:pBdr/>
      <w:spacing/>
      <w:ind/>
    </w:pPr>
  </w:style>
  <w:style w:type="paragraph" w:styleId="857">
    <w:name w:val="Зміст 3"/>
    <w:basedOn w:val="802"/>
    <w:next w:val="802"/>
    <w:link w:val="802"/>
    <w:uiPriority w:val="39"/>
    <w:unhideWhenUsed/>
    <w:qFormat/>
    <w:pPr>
      <w:pBdr/>
      <w:spacing w:after="57"/>
      <w:ind w:firstLine="0" w:left="567"/>
    </w:pPr>
  </w:style>
  <w:style w:type="paragraph" w:styleId="858">
    <w:name w:val="Зміст 2"/>
    <w:basedOn w:val="802"/>
    <w:next w:val="802"/>
    <w:link w:val="802"/>
    <w:uiPriority w:val="39"/>
    <w:unhideWhenUsed/>
    <w:pPr>
      <w:pBdr/>
      <w:spacing w:after="57"/>
      <w:ind w:firstLine="0" w:left="283"/>
    </w:pPr>
  </w:style>
  <w:style w:type="paragraph" w:styleId="859">
    <w:name w:val="Зміст 4"/>
    <w:basedOn w:val="802"/>
    <w:next w:val="802"/>
    <w:link w:val="802"/>
    <w:uiPriority w:val="39"/>
    <w:unhideWhenUsed/>
    <w:pPr>
      <w:pBdr/>
      <w:spacing w:after="57"/>
      <w:ind w:firstLine="0" w:left="850"/>
    </w:pPr>
  </w:style>
  <w:style w:type="paragraph" w:styleId="860">
    <w:name w:val="Зміст 5"/>
    <w:basedOn w:val="802"/>
    <w:next w:val="802"/>
    <w:link w:val="802"/>
    <w:uiPriority w:val="39"/>
    <w:unhideWhenUsed/>
    <w:pPr>
      <w:pBdr/>
      <w:spacing w:after="57"/>
      <w:ind w:firstLine="0" w:left="1134"/>
    </w:pPr>
  </w:style>
  <w:style w:type="paragraph" w:styleId="861">
    <w:name w:val="Назва"/>
    <w:basedOn w:val="802"/>
    <w:next w:val="802"/>
    <w:link w:val="100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62">
    <w:name w:val="Нижній колонтитул"/>
    <w:basedOn w:val="802"/>
    <w:next w:val="862"/>
    <w:link w:val="100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63">
    <w:name w:val="Підзаголовок"/>
    <w:basedOn w:val="802"/>
    <w:next w:val="802"/>
    <w:link w:val="1002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64">
    <w:name w:val="Сітка таблиці"/>
    <w:basedOn w:val="813"/>
    <w:next w:val="864"/>
    <w:link w:val="802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5">
    <w:name w:val="Heading 1 Char"/>
    <w:next w:val="865"/>
    <w:link w:val="802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66">
    <w:name w:val="Heading 2 Char"/>
    <w:next w:val="866"/>
    <w:link w:val="802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67">
    <w:name w:val="Heading 3 Char"/>
    <w:next w:val="867"/>
    <w:link w:val="802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68">
    <w:name w:val="Heading 4 Char"/>
    <w:next w:val="868"/>
    <w:link w:val="802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69">
    <w:name w:val="Heading 5 Char"/>
    <w:next w:val="869"/>
    <w:link w:val="802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70">
    <w:name w:val="Heading 6 Char"/>
    <w:next w:val="870"/>
    <w:link w:val="802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71">
    <w:name w:val="Heading 7 Char"/>
    <w:next w:val="871"/>
    <w:link w:val="802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72">
    <w:name w:val="Heading 8 Char"/>
    <w:next w:val="872"/>
    <w:link w:val="80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73">
    <w:name w:val="Heading 9 Char"/>
    <w:next w:val="873"/>
    <w:link w:val="80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74">
    <w:name w:val="Title Char"/>
    <w:next w:val="874"/>
    <w:link w:val="802"/>
    <w:uiPriority w:val="10"/>
    <w:qFormat/>
    <w:pPr>
      <w:pBdr/>
      <w:spacing/>
      <w:ind/>
    </w:pPr>
    <w:rPr>
      <w:sz w:val="48"/>
      <w:szCs w:val="48"/>
    </w:rPr>
  </w:style>
  <w:style w:type="character" w:styleId="875">
    <w:name w:val="Subtitle Char"/>
    <w:next w:val="875"/>
    <w:link w:val="802"/>
    <w:uiPriority w:val="11"/>
    <w:qFormat/>
    <w:pPr>
      <w:pBdr/>
      <w:spacing/>
      <w:ind/>
    </w:pPr>
    <w:rPr>
      <w:sz w:val="24"/>
      <w:szCs w:val="24"/>
    </w:rPr>
  </w:style>
  <w:style w:type="character" w:styleId="876">
    <w:name w:val="Quote Char"/>
    <w:next w:val="876"/>
    <w:link w:val="802"/>
    <w:uiPriority w:val="29"/>
    <w:qFormat/>
    <w:pPr>
      <w:pBdr/>
      <w:spacing/>
      <w:ind/>
    </w:pPr>
    <w:rPr>
      <w:i/>
    </w:rPr>
  </w:style>
  <w:style w:type="character" w:styleId="877">
    <w:name w:val="Intense Quote Char"/>
    <w:next w:val="877"/>
    <w:link w:val="802"/>
    <w:uiPriority w:val="30"/>
    <w:qFormat/>
    <w:pPr>
      <w:pBdr/>
      <w:spacing/>
      <w:ind/>
    </w:pPr>
    <w:rPr>
      <w:i/>
    </w:rPr>
  </w:style>
  <w:style w:type="character" w:styleId="878">
    <w:name w:val="Header Char"/>
    <w:basedOn w:val="812"/>
    <w:next w:val="878"/>
    <w:link w:val="802"/>
    <w:uiPriority w:val="99"/>
    <w:qFormat/>
    <w:pPr>
      <w:pBdr/>
      <w:spacing/>
      <w:ind/>
    </w:pPr>
  </w:style>
  <w:style w:type="character" w:styleId="879">
    <w:name w:val="Footer Char"/>
    <w:basedOn w:val="812"/>
    <w:next w:val="879"/>
    <w:link w:val="802"/>
    <w:uiPriority w:val="99"/>
    <w:pPr>
      <w:pBdr/>
      <w:spacing/>
      <w:ind/>
    </w:pPr>
  </w:style>
  <w:style w:type="table" w:styleId="880">
    <w:name w:val="Звичайна таблиця 11"/>
    <w:basedOn w:val="813"/>
    <w:next w:val="880"/>
    <w:link w:val="80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Звичайна таблиця 21"/>
    <w:basedOn w:val="813"/>
    <w:next w:val="881"/>
    <w:link w:val="802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Звичайна таблиця 31"/>
    <w:basedOn w:val="813"/>
    <w:next w:val="882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Звичайна таблиця 41"/>
    <w:basedOn w:val="813"/>
    <w:next w:val="883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Звичайна таблиця 51"/>
    <w:basedOn w:val="813"/>
    <w:next w:val="884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Таблиця-сітка 1 (світла)1"/>
    <w:basedOn w:val="813"/>
    <w:next w:val="885"/>
    <w:link w:val="802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я-сітка 21"/>
    <w:basedOn w:val="813"/>
    <w:next w:val="886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Таблиця-сітка 31"/>
    <w:basedOn w:val="813"/>
    <w:next w:val="887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Таблиця-сітка 41"/>
    <w:basedOn w:val="813"/>
    <w:next w:val="888"/>
    <w:link w:val="802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Таблиця-сітка 5 (темна)1"/>
    <w:basedOn w:val="813"/>
    <w:next w:val="889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Таблиця-сітка 6 (кольорова)1"/>
    <w:basedOn w:val="813"/>
    <w:next w:val="890"/>
    <w:link w:val="802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Таблиця-сітка 7 (кольорова)1"/>
    <w:basedOn w:val="813"/>
    <w:next w:val="891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Таблиця-список 1 (світлий)1"/>
    <w:basedOn w:val="813"/>
    <w:next w:val="892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Таблиця-список 21"/>
    <w:basedOn w:val="813"/>
    <w:next w:val="893"/>
    <w:link w:val="802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Таблиця-список 31"/>
    <w:basedOn w:val="813"/>
    <w:next w:val="894"/>
    <w:link w:val="80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Таблиця-список 41"/>
    <w:basedOn w:val="813"/>
    <w:next w:val="895"/>
    <w:link w:val="80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Таблиця-список 5 (темний)1"/>
    <w:basedOn w:val="813"/>
    <w:next w:val="896"/>
    <w:link w:val="802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Таблиця-список 6 (кольоровий)1"/>
    <w:basedOn w:val="813"/>
    <w:next w:val="897"/>
    <w:link w:val="802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Таблиця-список 7 (кольоровий)1"/>
    <w:basedOn w:val="813"/>
    <w:next w:val="898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9">
    <w:name w:val="Footnote Text Char"/>
    <w:next w:val="899"/>
    <w:link w:val="802"/>
    <w:uiPriority w:val="99"/>
    <w:pPr>
      <w:pBdr/>
      <w:spacing/>
      <w:ind/>
    </w:pPr>
    <w:rPr>
      <w:sz w:val="18"/>
    </w:rPr>
  </w:style>
  <w:style w:type="character" w:styleId="900">
    <w:name w:val="Endnote Text Char"/>
    <w:next w:val="900"/>
    <w:link w:val="802"/>
    <w:uiPriority w:val="99"/>
    <w:pPr>
      <w:pBdr/>
      <w:spacing/>
      <w:ind/>
    </w:pPr>
    <w:rPr>
      <w:sz w:val="20"/>
    </w:rPr>
  </w:style>
  <w:style w:type="character" w:styleId="901">
    <w:name w:val="Caption Char"/>
    <w:next w:val="901"/>
    <w:link w:val="802"/>
    <w:uiPriority w:val="99"/>
    <w:pPr>
      <w:pBdr/>
      <w:spacing/>
      <w:ind/>
    </w:pPr>
  </w:style>
  <w:style w:type="character" w:styleId="902">
    <w:name w:val="Текст кінцевої виноски Знак"/>
    <w:next w:val="902"/>
    <w:link w:val="847"/>
    <w:uiPriority w:val="99"/>
    <w:pPr>
      <w:pBdr/>
      <w:spacing/>
      <w:ind/>
    </w:pPr>
    <w:rPr>
      <w:sz w:val="20"/>
    </w:rPr>
  </w:style>
  <w:style w:type="table" w:styleId="903">
    <w:name w:val="Table Grid Light"/>
    <w:basedOn w:val="813"/>
    <w:next w:val="903"/>
    <w:link w:val="80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1 Light - Accent 1"/>
    <w:basedOn w:val="813"/>
    <w:next w:val="904"/>
    <w:link w:val="802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1 Light - Accent 2"/>
    <w:basedOn w:val="813"/>
    <w:next w:val="905"/>
    <w:link w:val="802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1 Light - Accent 3"/>
    <w:basedOn w:val="813"/>
    <w:next w:val="906"/>
    <w:link w:val="802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1 Light - Accent 4"/>
    <w:basedOn w:val="813"/>
    <w:next w:val="907"/>
    <w:link w:val="802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1 Light - Accent 5"/>
    <w:basedOn w:val="813"/>
    <w:next w:val="908"/>
    <w:link w:val="802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1 Light - Accent 6"/>
    <w:basedOn w:val="813"/>
    <w:next w:val="909"/>
    <w:link w:val="802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2 - Accent 1"/>
    <w:basedOn w:val="813"/>
    <w:next w:val="910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2 - Accent 2"/>
    <w:basedOn w:val="813"/>
    <w:next w:val="911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2 - Accent 3"/>
    <w:basedOn w:val="813"/>
    <w:next w:val="912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2 - Accent 4"/>
    <w:basedOn w:val="813"/>
    <w:next w:val="913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2 - Accent 5"/>
    <w:basedOn w:val="813"/>
    <w:next w:val="914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2 - Accent 6"/>
    <w:basedOn w:val="813"/>
    <w:next w:val="915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 - Accent 1"/>
    <w:basedOn w:val="813"/>
    <w:next w:val="916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3 - Accent 2"/>
    <w:basedOn w:val="813"/>
    <w:next w:val="917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3 - Accent 3"/>
    <w:basedOn w:val="813"/>
    <w:next w:val="918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3 - Accent 4"/>
    <w:basedOn w:val="813"/>
    <w:next w:val="919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3 - Accent 5"/>
    <w:basedOn w:val="813"/>
    <w:next w:val="920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3 - Accent 6"/>
    <w:basedOn w:val="813"/>
    <w:next w:val="921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4 - Accent 1"/>
    <w:basedOn w:val="813"/>
    <w:next w:val="922"/>
    <w:link w:val="802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 - Accent 2"/>
    <w:basedOn w:val="813"/>
    <w:next w:val="923"/>
    <w:link w:val="802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4 - Accent 3"/>
    <w:basedOn w:val="813"/>
    <w:next w:val="924"/>
    <w:link w:val="802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4 - Accent 4"/>
    <w:basedOn w:val="813"/>
    <w:next w:val="925"/>
    <w:link w:val="802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4 - Accent 5"/>
    <w:basedOn w:val="813"/>
    <w:next w:val="926"/>
    <w:link w:val="802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4 - Accent 6"/>
    <w:basedOn w:val="813"/>
    <w:next w:val="927"/>
    <w:link w:val="802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5 Dark- Accent 1"/>
    <w:basedOn w:val="813"/>
    <w:next w:val="928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5 Dark - Accent 2"/>
    <w:basedOn w:val="813"/>
    <w:next w:val="929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 - Accent 3"/>
    <w:basedOn w:val="813"/>
    <w:next w:val="930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5 Dark- Accent 4"/>
    <w:basedOn w:val="813"/>
    <w:next w:val="931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5 Dark - Accent 5"/>
    <w:basedOn w:val="813"/>
    <w:next w:val="932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5 Dark - Accent 6"/>
    <w:basedOn w:val="813"/>
    <w:next w:val="933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6 Colorful - Accent 1"/>
    <w:basedOn w:val="813"/>
    <w:next w:val="934"/>
    <w:link w:val="802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6 Colorful - Accent 2"/>
    <w:basedOn w:val="813"/>
    <w:next w:val="935"/>
    <w:link w:val="802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6 Colorful - Accent 3"/>
    <w:basedOn w:val="813"/>
    <w:next w:val="936"/>
    <w:link w:val="802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 - Accent 4"/>
    <w:basedOn w:val="813"/>
    <w:next w:val="937"/>
    <w:link w:val="802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6 Colorful - Accent 5"/>
    <w:basedOn w:val="813"/>
    <w:next w:val="938"/>
    <w:link w:val="802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6 Colorful - Accent 6"/>
    <w:basedOn w:val="813"/>
    <w:next w:val="939"/>
    <w:link w:val="802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7 Colorful - Accent 1"/>
    <w:basedOn w:val="813"/>
    <w:next w:val="940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7 Colorful - Accent 2"/>
    <w:basedOn w:val="813"/>
    <w:next w:val="941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7 Colorful - Accent 3"/>
    <w:basedOn w:val="813"/>
    <w:next w:val="942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7 Colorful - Accent 4"/>
    <w:basedOn w:val="813"/>
    <w:next w:val="943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 - Accent 5"/>
    <w:basedOn w:val="813"/>
    <w:next w:val="944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7 Colorful - Accent 6"/>
    <w:basedOn w:val="813"/>
    <w:next w:val="945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1 Light - Accent 1"/>
    <w:basedOn w:val="813"/>
    <w:next w:val="946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1 Light - Accent 2"/>
    <w:basedOn w:val="813"/>
    <w:next w:val="947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1 Light - Accent 3"/>
    <w:basedOn w:val="813"/>
    <w:next w:val="948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1 Light - Accent 4"/>
    <w:basedOn w:val="813"/>
    <w:next w:val="949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1 Light - Accent 5"/>
    <w:basedOn w:val="813"/>
    <w:next w:val="950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 - Accent 6"/>
    <w:basedOn w:val="813"/>
    <w:next w:val="951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2 - Accent 1"/>
    <w:basedOn w:val="813"/>
    <w:next w:val="952"/>
    <w:link w:val="802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2 - Accent 2"/>
    <w:basedOn w:val="813"/>
    <w:next w:val="953"/>
    <w:link w:val="802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2 - Accent 3"/>
    <w:basedOn w:val="813"/>
    <w:next w:val="954"/>
    <w:link w:val="802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2 - Accent 4"/>
    <w:basedOn w:val="813"/>
    <w:next w:val="955"/>
    <w:link w:val="802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2 - Accent 5"/>
    <w:basedOn w:val="813"/>
    <w:next w:val="956"/>
    <w:link w:val="802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2 - Accent 6"/>
    <w:basedOn w:val="813"/>
    <w:next w:val="957"/>
    <w:link w:val="802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3 - Accent 1"/>
    <w:basedOn w:val="813"/>
    <w:next w:val="958"/>
    <w:link w:val="802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3 - Accent 2"/>
    <w:basedOn w:val="813"/>
    <w:next w:val="959"/>
    <w:link w:val="802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3 - Accent 3"/>
    <w:basedOn w:val="813"/>
    <w:next w:val="960"/>
    <w:link w:val="802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3 - Accent 4"/>
    <w:basedOn w:val="813"/>
    <w:next w:val="961"/>
    <w:link w:val="802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3 - Accent 5"/>
    <w:basedOn w:val="813"/>
    <w:next w:val="962"/>
    <w:link w:val="802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3 - Accent 6"/>
    <w:basedOn w:val="813"/>
    <w:next w:val="963"/>
    <w:link w:val="802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 - Accent 1"/>
    <w:basedOn w:val="813"/>
    <w:next w:val="964"/>
    <w:link w:val="802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4 - Accent 2"/>
    <w:basedOn w:val="813"/>
    <w:next w:val="965"/>
    <w:link w:val="802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4 - Accent 3"/>
    <w:basedOn w:val="813"/>
    <w:next w:val="966"/>
    <w:link w:val="802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4 - Accent 4"/>
    <w:basedOn w:val="813"/>
    <w:next w:val="967"/>
    <w:link w:val="802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4 - Accent 5"/>
    <w:basedOn w:val="813"/>
    <w:next w:val="968"/>
    <w:link w:val="802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4 - Accent 6"/>
    <w:basedOn w:val="813"/>
    <w:next w:val="969"/>
    <w:link w:val="802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5 Dark - Accent 1"/>
    <w:basedOn w:val="813"/>
    <w:next w:val="970"/>
    <w:link w:val="802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 - Accent 2"/>
    <w:basedOn w:val="813"/>
    <w:next w:val="971"/>
    <w:link w:val="802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5 Dark - Accent 3"/>
    <w:basedOn w:val="813"/>
    <w:next w:val="972"/>
    <w:link w:val="802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5 Dark - Accent 4"/>
    <w:basedOn w:val="813"/>
    <w:next w:val="973"/>
    <w:link w:val="802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5 Dark - Accent 5"/>
    <w:basedOn w:val="813"/>
    <w:next w:val="974"/>
    <w:link w:val="802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5 Dark - Accent 6"/>
    <w:basedOn w:val="813"/>
    <w:next w:val="975"/>
    <w:link w:val="802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 - Accent 1"/>
    <w:basedOn w:val="813"/>
    <w:next w:val="976"/>
    <w:link w:val="802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6 Colorful - Accent 2"/>
    <w:basedOn w:val="813"/>
    <w:next w:val="977"/>
    <w:link w:val="802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 - Accent 3"/>
    <w:basedOn w:val="813"/>
    <w:next w:val="978"/>
    <w:link w:val="802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6 Colorful - Accent 4"/>
    <w:basedOn w:val="813"/>
    <w:next w:val="979"/>
    <w:link w:val="802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6 Colorful - Accent 5"/>
    <w:basedOn w:val="813"/>
    <w:next w:val="980"/>
    <w:link w:val="802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6 Colorful - Accent 6"/>
    <w:basedOn w:val="813"/>
    <w:next w:val="981"/>
    <w:link w:val="802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7 Colorful - Accent 1"/>
    <w:basedOn w:val="813"/>
    <w:next w:val="982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 - Accent 2"/>
    <w:basedOn w:val="813"/>
    <w:next w:val="983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7 Colorful - Accent 3"/>
    <w:basedOn w:val="813"/>
    <w:next w:val="984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 - Accent 4"/>
    <w:basedOn w:val="813"/>
    <w:next w:val="985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7 Colorful - Accent 5"/>
    <w:basedOn w:val="813"/>
    <w:next w:val="986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7 Colorful - Accent 6"/>
    <w:basedOn w:val="813"/>
    <w:next w:val="987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ned - Accent"/>
    <w:basedOn w:val="813"/>
    <w:next w:val="988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"/>
    <w:basedOn w:val="813"/>
    <w:next w:val="989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0">
    <w:name w:val="Заголовок 1 Знак"/>
    <w:next w:val="990"/>
    <w:link w:val="80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91">
    <w:name w:val="Заголовок 2 Знак"/>
    <w:next w:val="991"/>
    <w:link w:val="80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92">
    <w:name w:val="Заголовок 3 Знак"/>
    <w:next w:val="992"/>
    <w:link w:val="80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93">
    <w:name w:val="Заголовок 4 Знак"/>
    <w:next w:val="993"/>
    <w:link w:val="80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94">
    <w:name w:val="Заголовок 5 Знак"/>
    <w:next w:val="994"/>
    <w:link w:val="80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95">
    <w:name w:val="Заголовок 6 Знак"/>
    <w:next w:val="995"/>
    <w:link w:val="80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96">
    <w:name w:val="Заголовок 7 Знак"/>
    <w:next w:val="996"/>
    <w:link w:val="80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97">
    <w:name w:val="Заголовок 8 Знак"/>
    <w:next w:val="997"/>
    <w:link w:val="81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98">
    <w:name w:val="Заголовок 9 Знак"/>
    <w:next w:val="998"/>
    <w:link w:val="81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99">
    <w:name w:val="Абзац списку"/>
    <w:basedOn w:val="802"/>
    <w:next w:val="999"/>
    <w:link w:val="802"/>
    <w:uiPriority w:val="34"/>
    <w:qFormat/>
    <w:pPr>
      <w:pBdr/>
      <w:spacing/>
      <w:ind w:left="720"/>
      <w:contextualSpacing w:val="true"/>
    </w:pPr>
  </w:style>
  <w:style w:type="paragraph" w:styleId="1000">
    <w:name w:val="Без інтервалів"/>
    <w:next w:val="1000"/>
    <w:link w:val="802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1001">
    <w:name w:val="Назва Знак"/>
    <w:next w:val="1001"/>
    <w:link w:val="861"/>
    <w:uiPriority w:val="10"/>
    <w:pPr>
      <w:pBdr/>
      <w:spacing/>
      <w:ind/>
    </w:pPr>
    <w:rPr>
      <w:sz w:val="48"/>
      <w:szCs w:val="48"/>
    </w:rPr>
  </w:style>
  <w:style w:type="character" w:styleId="1002">
    <w:name w:val="Підзаголовок Знак"/>
    <w:next w:val="1002"/>
    <w:link w:val="863"/>
    <w:uiPriority w:val="11"/>
    <w:pPr>
      <w:pBdr/>
      <w:spacing/>
      <w:ind/>
    </w:pPr>
    <w:rPr>
      <w:sz w:val="24"/>
      <w:szCs w:val="24"/>
    </w:rPr>
  </w:style>
  <w:style w:type="paragraph" w:styleId="1003">
    <w:name w:val="Цитата"/>
    <w:basedOn w:val="802"/>
    <w:next w:val="802"/>
    <w:link w:val="1004"/>
    <w:uiPriority w:val="29"/>
    <w:qFormat/>
    <w:pPr>
      <w:pBdr/>
      <w:spacing/>
      <w:ind w:right="720" w:left="720"/>
    </w:pPr>
    <w:rPr>
      <w:i/>
    </w:rPr>
  </w:style>
  <w:style w:type="character" w:styleId="1004">
    <w:name w:val="Цитата Знак"/>
    <w:next w:val="1004"/>
    <w:link w:val="1003"/>
    <w:uiPriority w:val="29"/>
    <w:pPr>
      <w:pBdr/>
      <w:spacing/>
      <w:ind/>
    </w:pPr>
    <w:rPr>
      <w:i/>
    </w:rPr>
  </w:style>
  <w:style w:type="paragraph" w:styleId="1005">
    <w:name w:val="Насичена цитата"/>
    <w:basedOn w:val="802"/>
    <w:next w:val="802"/>
    <w:link w:val="100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1006">
    <w:name w:val="Насичена цитата Знак"/>
    <w:next w:val="1006"/>
    <w:link w:val="1005"/>
    <w:uiPriority w:val="30"/>
    <w:pPr>
      <w:pBdr/>
      <w:spacing/>
      <w:ind/>
    </w:pPr>
    <w:rPr>
      <w:i/>
    </w:rPr>
  </w:style>
  <w:style w:type="character" w:styleId="1007">
    <w:name w:val="Верхній колонтитул Знак"/>
    <w:basedOn w:val="812"/>
    <w:next w:val="1007"/>
    <w:link w:val="851"/>
    <w:uiPriority w:val="99"/>
    <w:pPr>
      <w:pBdr/>
      <w:spacing/>
      <w:ind/>
    </w:pPr>
  </w:style>
  <w:style w:type="character" w:styleId="1008">
    <w:name w:val="Нижній колонтитул Знак"/>
    <w:basedOn w:val="812"/>
    <w:next w:val="1008"/>
    <w:link w:val="862"/>
    <w:uiPriority w:val="99"/>
    <w:pPr>
      <w:pBdr/>
      <w:spacing/>
      <w:ind/>
    </w:pPr>
  </w:style>
  <w:style w:type="table" w:styleId="1009">
    <w:name w:val="Lined"/>
    <w:basedOn w:val="813"/>
    <w:next w:val="1009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ned - Accent 1"/>
    <w:basedOn w:val="813"/>
    <w:next w:val="1010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ned - Accent 2"/>
    <w:basedOn w:val="813"/>
    <w:next w:val="1011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ned - Accent 3"/>
    <w:basedOn w:val="813"/>
    <w:next w:val="1012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ned - Accent 4"/>
    <w:basedOn w:val="813"/>
    <w:next w:val="1013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ned - Accent 5"/>
    <w:basedOn w:val="813"/>
    <w:next w:val="1014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ned - Accent 6"/>
    <w:basedOn w:val="813"/>
    <w:next w:val="1015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"/>
    <w:basedOn w:val="813"/>
    <w:next w:val="1016"/>
    <w:link w:val="802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- Accent 1"/>
    <w:basedOn w:val="813"/>
    <w:next w:val="1017"/>
    <w:link w:val="802"/>
    <w:uiPriority w:val="99"/>
    <w:pPr>
      <w:pBdr/>
      <w:spacing/>
      <w:ind/>
    </w:pPr>
    <w:tblPr>
      <w:tblW w:w="0" w:type="auto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- Accent 2"/>
    <w:basedOn w:val="813"/>
    <w:next w:val="1018"/>
    <w:link w:val="802"/>
    <w:uiPriority w:val="99"/>
    <w:pPr>
      <w:pBdr/>
      <w:spacing/>
      <w:ind/>
    </w:pPr>
    <w:tblPr>
      <w:tblW w:w="0" w:type="auto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- Accent 3"/>
    <w:basedOn w:val="813"/>
    <w:next w:val="1019"/>
    <w:link w:val="802"/>
    <w:uiPriority w:val="99"/>
    <w:pPr>
      <w:pBdr/>
      <w:spacing/>
      <w:ind/>
    </w:pPr>
    <w:tblPr>
      <w:tblW w:w="0" w:type="auto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- Accent 4"/>
    <w:basedOn w:val="813"/>
    <w:next w:val="1020"/>
    <w:link w:val="802"/>
    <w:uiPriority w:val="99"/>
    <w:pPr>
      <w:pBdr/>
      <w:spacing/>
      <w:ind/>
    </w:pPr>
    <w:tblPr>
      <w:tblW w:w="0" w:type="auto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- Accent 5"/>
    <w:basedOn w:val="813"/>
    <w:next w:val="1021"/>
    <w:link w:val="802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Bordered - Accent 6"/>
    <w:basedOn w:val="813"/>
    <w:next w:val="1022"/>
    <w:link w:val="802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Bordered &amp; Lined"/>
    <w:basedOn w:val="813"/>
    <w:next w:val="1023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Bordered &amp; Lined - Accent 1"/>
    <w:basedOn w:val="813"/>
    <w:next w:val="1024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Bordered &amp; Lined - Accent 2"/>
    <w:basedOn w:val="813"/>
    <w:next w:val="1025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Bordered &amp; Lined - Accent 3"/>
    <w:basedOn w:val="813"/>
    <w:next w:val="1026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Bordered &amp; Lined - Accent 4"/>
    <w:basedOn w:val="813"/>
    <w:next w:val="1027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Bordered &amp; Lined - Accent 5"/>
    <w:basedOn w:val="813"/>
    <w:next w:val="1028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Bordered &amp; Lined - Accent 6"/>
    <w:basedOn w:val="813"/>
    <w:next w:val="1029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0">
    <w:name w:val="Текст виноски Знак"/>
    <w:next w:val="1030"/>
    <w:link w:val="849"/>
    <w:uiPriority w:val="99"/>
    <w:pPr>
      <w:pBdr/>
      <w:spacing/>
      <w:ind/>
    </w:pPr>
    <w:rPr>
      <w:sz w:val="18"/>
    </w:rPr>
  </w:style>
  <w:style w:type="paragraph" w:styleId="1031">
    <w:name w:val="Заголовок оглавления1"/>
    <w:next w:val="1031"/>
    <w:link w:val="802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32">
    <w:name w:val="Текст у виносці Знак"/>
    <w:next w:val="1032"/>
    <w:link w:val="846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33">
    <w:name w:val="docdata"/>
    <w:basedOn w:val="802"/>
    <w:next w:val="1033"/>
    <w:link w:val="802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34">
    <w:name w:val="docy"/>
    <w:basedOn w:val="812"/>
    <w:next w:val="1034"/>
    <w:link w:val="802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СТАЛЬНИЧЕНКО Юрій Валерійович</cp:lastModifiedBy>
  <cp:revision>77</cp:revision>
  <dcterms:created xsi:type="dcterms:W3CDTF">2026-02-06T08:27:00Z</dcterms:created>
  <dcterms:modified xsi:type="dcterms:W3CDTF">2026-06-10T07:21:56Z</dcterms:modified>
  <cp:version>1048576</cp:version>
</cp:coreProperties>
</file>