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1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26 травня 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146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>
          <w:b/>
          <w:bCs/>
        </w:rPr>
      </w:pPr>
      <w:r>
        <w:rPr>
          <w:b/>
          <w:bCs/>
        </w:rPr>
        <w:t xml:space="preserve">Про проведення виїзного консультаційного засідання координаційної ради з питань підготовки до зимового періоду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8"/>
        </w:rPr>
      </w:pPr>
      <w:r>
        <w:t xml:space="preserve">З метою забезпечення належної підготовки населених пунктів Менської міської територіальної громади до проходження осінньо-зимового періоду 2026–2027 років, обговорення проблемних питань функціонування об’єктів житлово-комунального господарства, соціальної </w:t>
      </w:r>
      <w:r>
        <w:t xml:space="preserve">сфери та об’єктів критичної інфраструктури, вивчення стану підготовки об’єктів на території старостинських округів, налагодження взаємодії між структурними підрозділами міської ради, комун</w:t>
      </w:r>
      <w:r>
        <w:rPr>
          <w:sz w:val="28"/>
          <w:szCs w:val="28"/>
        </w:rPr>
        <w:t xml:space="preserve">альними підприємствами та старостинськими округами, керуючись стаття</w:t>
      </w:r>
      <w:r>
        <w:rPr>
          <w:sz w:val="28"/>
          <w:szCs w:val="28"/>
        </w:rPr>
        <w:t xml:space="preserve">ми 42, 50 Закону України «Про місцеве самоврядування в Україні»: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Провести 26 травня 2026 року з **:** до **:** години в селі Стольне виїзне консультаційне засідання координаційної ради з питань підготовки до зимового періоду.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Визначити основними питаннями для розгляду: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8"/>
        </w:rPr>
      </w:pPr>
      <w:r>
        <w:rPr>
          <w:sz w:val="28"/>
          <w:szCs w:val="28"/>
        </w:rPr>
        <w:t xml:space="preserve">2.1. Стан підготовки об’єктів житлово-комунального господарства до проходження осінньо-зимового періоду 2026–2027 років.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8"/>
        </w:rPr>
      </w:pPr>
      <w:r>
        <w:rPr>
          <w:sz w:val="28"/>
          <w:szCs w:val="28"/>
        </w:rPr>
        <w:t xml:space="preserve">2.2. Підготовка закладів освіти, культури, охорони здоров’я та інших бюджетних установ до роботи в зимовий період.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8"/>
        </w:rPr>
      </w:pPr>
      <w:r>
        <w:rPr>
          <w:sz w:val="28"/>
          <w:szCs w:val="28"/>
        </w:rPr>
        <w:t xml:space="preserve">2.3. Стан підготовки систем тепло-, водопостачання та електропостачання.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8"/>
        </w:rPr>
      </w:pPr>
      <w:r>
        <w:rPr>
          <w:sz w:val="28"/>
          <w:szCs w:val="28"/>
        </w:rPr>
        <w:t xml:space="preserve">2.4. Наявність резервних джерел живлення та матеріально-технічних ресурсів.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8"/>
        </w:rPr>
      </w:pPr>
      <w:r>
        <w:rPr>
          <w:sz w:val="28"/>
          <w:szCs w:val="28"/>
        </w:rPr>
        <w:t xml:space="preserve">2.5. Проблемні питання старостинського округу та шляхи їх вирішення.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8"/>
        </w:rPr>
      </w:pPr>
      <w:r>
        <w:rPr>
          <w:sz w:val="28"/>
          <w:szCs w:val="28"/>
        </w:rPr>
        <w:t xml:space="preserve">2.6. Інші питання, пов'язані із забезпеченням сталого функціонування громади в зимовий період.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Запросити </w:t>
      </w:r>
      <w:r>
        <w:rPr>
          <w:sz w:val="28"/>
          <w:szCs w:val="28"/>
        </w:rPr>
        <w:t xml:space="preserve">до участі у засіданні: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В.о.старости Стольненського старостинського округу;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керівників відділу житлово-комунального господарства</w:t>
      </w:r>
      <w:r>
        <w:rPr>
          <w:sz w:val="28"/>
          <w:szCs w:val="28"/>
        </w:rPr>
        <w:t xml:space="preserve"> та комунального майна</w:t>
      </w:r>
      <w:r>
        <w:rPr>
          <w:sz w:val="28"/>
          <w:szCs w:val="28"/>
        </w:rPr>
        <w:t xml:space="preserve">, від</w:t>
      </w:r>
      <w:r>
        <w:rPr>
          <w:sz w:val="28"/>
          <w:szCs w:val="28"/>
        </w:rPr>
        <w:t xml:space="preserve">ділу бухгалтерського обліку та зв</w:t>
      </w:r>
      <w:r>
        <w:rPr>
          <w:sz w:val="28"/>
          <w:szCs w:val="28"/>
        </w:rPr>
        <w:t xml:space="preserve">ітності, Відділу культури, Відділу освіти, Відділу архітектури та містобудування, Відділу соціального захисту населення та охорони здоров’я, сектору енергоменеджменту та енергомоніторингу, відділу земельних відносин, агропромислового комплексу та екології;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Керівництво комунального підприємства «Менакомунпослуга» Менської міської ради;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керівників установ та організацій відповідно до компетенції;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депутатів Менської міської ради (за згодою);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представників</w:t>
      </w:r>
      <w:r>
        <w:rPr>
          <w:sz w:val="28"/>
          <w:szCs w:val="28"/>
        </w:rPr>
        <w:t xml:space="preserve"> суб’єктів господарювання та громадськості (за згодою).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Відділу документування та забезпечення діяльності апарату ради </w:t>
      </w:r>
      <w:r>
        <w:rPr>
          <w:sz w:val="28"/>
          <w:szCs w:val="28"/>
        </w:rPr>
        <w:t xml:space="preserve">спільно з відділом бухгалтерського обліку та звітності забезпечити організацію проведення заходу, у тому числі: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sz w:val="28"/>
          <w:szCs w:val="28"/>
        </w:rPr>
        <w:t xml:space="preserve">транспортне забезпечення учасників;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підготовку матеріалів;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sz w:val="28"/>
          <w:szCs w:val="28"/>
        </w:rPr>
        <w:t xml:space="preserve">інформаційне супроводження;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матеріально-технічне забезпечення проведення засідання;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забезпечення кейтерингових послуг;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організацію інших заходів, необхідних для належного проведення засідання.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rPr/>
      </w:pPr>
      <w:r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вик</w:t>
      </w:r>
      <w:r>
        <w:t xml:space="preserve">онанням цього розпорядження залишаю за собою.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4BE5AC03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5">
    <w:nsid w:val="0E0527AC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2026-06-03T07:45:26Z</dcterms:modified>
</cp:coreProperties>
</file>