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65"/>
        <w:pBdr/>
        <w:spacing w:after="0" w:afterAutospacing="0"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65"/>
        <w:pBdr/>
        <w:spacing w:after="0" w:afterAutospacing="0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afterAutospacing="0" w:line="240" w:lineRule="auto"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afterAutospacing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afterAutospacing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 w:after="0" w:afterAutospacing="0" w:before="0" w:beforeAutospacing="0" w:line="240" w:lineRule="auto"/>
        <w:ind w:firstLine="0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27 травня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2026 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val="en-US"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№ 147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afterAutospacing="0" w:before="0" w:line="240" w:lineRule="auto"/>
        <w:ind w:right="0" w:firstLine="0" w:left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afterAutospacing="0" w:before="0" w:line="240" w:lineRule="auto"/>
        <w:ind w:right="0" w:firstLine="0" w:left="0"/>
        <w:rPr>
          <w:rFonts w:ascii="Times New Roman" w:hAnsi="Times New Roman" w:eastAsia="Times New Roman" w:cs="Times New Roman"/>
          <w:b/>
          <w:color w:val="000000"/>
          <w:sz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проведення інформаційного аудиту наборів даних, які підлягають оприлюдненню у формі відкритих даних, Менської міської ради та її виконавчих органів у 2026 році</w:t>
      </w:r>
      <w:r>
        <w:rPr>
          <w:rFonts w:ascii="Times New Roman" w:hAnsi="Times New Roman" w:eastAsia="Times New Roman" w:cs="Times New Roman"/>
          <w:b/>
          <w:color w:val="000000"/>
          <w:sz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58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Відповідно до Законів України «Про місцеве самоврядування в Україні», «Про доступ до публічної інформації», постанови Кабінету Міністрів України від 21.10.2015 № 835 «Про затвердження Положення про набори даних, які підлягають оприлюдненню у формі відкрити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х даних»  (зі змінами), з метою забезпечення публічності, прозорості та підзвітності структурних підрозділів Менської міської ради, реалізації права громадян на доступ до публічної інформації, яка знаходиться у володінні Менської міської ради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:</w:t>
      </w:r>
      <w:r/>
    </w:p>
    <w:p>
      <w:pPr>
        <w:pStyle w:val="864"/>
        <w:numPr>
          <w:ilvl w:val="0"/>
          <w:numId w:val="9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134"/>
        </w:tabs>
        <w:spacing w:after="0" w:afterAutospacing="0"/>
        <w:ind w:right="0" w:firstLine="567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Провести інформаційний аудит наборів даних, які підлягають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оприлюдненню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у формі відкритих даних, Менської міської ради та її виконавчих органів у 2026 році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, шляхом проведення віддаленого інформаційного аудиту.</w:t>
      </w:r>
      <w:r>
        <w:rPr>
          <w:highlight w:val="none"/>
        </w:rPr>
      </w:r>
      <w:r>
        <w:rPr>
          <w:highlight w:val="none"/>
        </w:rPr>
      </w:r>
    </w:p>
    <w:p>
      <w:pPr>
        <w:pStyle w:val="864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134"/>
        </w:tabs>
        <w:spacing w:after="0" w:afterAutospacing="0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творити комі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сію інформаційних аудиторів з проведення інформаційного аудиту наборів даних, які підлягають оприлюдненню у формі відкритих даних, Менської міської ради та її структурних підрозділів у 2026 році. Склад комісії інформаційних аудиторів визначено в додатку 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864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134"/>
        </w:tabs>
        <w:spacing w:after="0" w:afterAutospacing="0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Затвердити графік проведення інформаційного аудиту наборів даних, які підлягають оприлюдненню у формі відкритих даних, Менської міської ради та її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структурних підрозділів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 2026 році (додаток 2).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864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134"/>
        </w:tabs>
        <w:spacing w:after="0" w:afterAutospacing="0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Керівникам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структурних підрозділів Менської міської ради, які не мають статусу юридичної особи, забезпечити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згідно з графіком, надати до відділу цифрових трансформацій та кіберзахисту заповнені анкети віддаленого інформаційного аудиту (додаток 3) для подальшого опра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цювання комісією інформаційних аудиторів.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864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134"/>
        </w:tabs>
        <w:spacing w:after="0" w:afterAutospacing="0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Керівникам виконавчих органів Менської міської ради зі статусом юридичної особи визначити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відповідальних осіб та організувати проведення інформаційного аудиту наборів відкритих даних, що оприлюднюються відповідними виконавчими органами.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864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134"/>
        </w:tabs>
        <w:spacing w:after="0" w:afterAutospacing="0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Керівникам виконавчих органів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Менської міської ради, які є окремими юридичними особами, після завершення інформаційного аудиту оприлюднити його результати шляхом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публікації набору даних “Результати інформаційного аудиту” на порталі відкритих даних Менської міської ради, та повідомити відділ цифрових трансформацій та кіберзахисту Менської міськради про результати проведеного інформаційного аудиту у відповідному підрозділі.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864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134"/>
        </w:tabs>
        <w:spacing w:after="0" w:after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Комі</w:t>
      </w:r>
      <w:r>
        <w:rPr>
          <w:rFonts w:ascii="Times New Roman" w:hAnsi="Times New Roman" w:eastAsia="Times New Roman" w:cs="Times New Roman"/>
          <w:color w:val="auto"/>
          <w:sz w:val="28"/>
          <w:highlight w:val="white"/>
        </w:rPr>
        <w:t xml:space="preserve">сії інформаційних аудиторів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з проведення інформаційного аудиту наборів даних, які підлягають оприлюдненню у формі відкритих даних Менської міської ради та її виконавчих органів у 2026 році: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7.1.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здійснити проведення інформаційного аудиту згідно графіку проведення інформаційного аудиту наборів даних (додаток2), які підлягають оприлюдненню у формі відкритих даних, Менської міської ради та її виконавчих органів у 2026 році;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7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.2. забезпечити оприлюднення результатів інформаційного аудиту Менської міської ради на офіційному сайті Менської міської ради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</w:r>
      <w:hyperlink r:id="rId12" w:tooltip="https://mena.cg.gov.ua/" w:history="1">
        <w:r>
          <w:rPr>
            <w:rStyle w:val="900"/>
            <w:rFonts w:ascii="Times New Roman" w:hAnsi="Times New Roman" w:eastAsia="Times New Roman" w:cs="Times New Roman"/>
            <w:sz w:val="28"/>
            <w:highlight w:val="white"/>
          </w:rPr>
          <w:t xml:space="preserve">https://mena.cg.gov.ua/</w:t>
        </w:r>
        <w:r>
          <w:rPr>
            <w:rStyle w:val="900"/>
            <w:rFonts w:ascii="Times New Roman" w:hAnsi="Times New Roman" w:eastAsia="Times New Roman" w:cs="Times New Roman"/>
            <w:sz w:val="28"/>
            <w:highlight w:val="white"/>
          </w:rPr>
        </w:r>
      </w:hyperlink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7.3.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забезпечити оприлюднення результатів інформаційного аудиту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Менської міської ради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на Порталі відкритих даних Менської міської ради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</w:r>
      <w:hyperlink r:id="rId13" w:tooltip="https://data.gov.ua/" w:history="1">
        <w:r>
          <w:rPr>
            <w:rStyle w:val="900"/>
            <w:rFonts w:ascii="Times New Roman" w:hAnsi="Times New Roman" w:eastAsia="Times New Roman" w:cs="Times New Roman"/>
            <w:sz w:val="28"/>
            <w:highlight w:val="white"/>
          </w:rPr>
          <w:t xml:space="preserve">https://data.menarada.gov.ua/</w:t>
        </w:r>
        <w:r>
          <w:rPr>
            <w:rStyle w:val="900"/>
          </w:rPr>
        </w:r>
        <w:r>
          <w:rPr>
            <w:rStyle w:val="900"/>
            <w:rFonts w:ascii="Times New Roman" w:hAnsi="Times New Roman" w:eastAsia="Times New Roman" w:cs="Times New Roman"/>
            <w:sz w:val="28"/>
            <w:highlight w:val="none"/>
          </w:rPr>
        </w:r>
      </w:hyperlink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та Єдиному державному веб-порталі відкритих даних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</w:r>
      <w:hyperlink r:id="rId14" w:tooltip="https://data.gov.ua/" w:history="1">
        <w:r>
          <w:rPr>
            <w:rStyle w:val="900"/>
            <w:rFonts w:ascii="Times New Roman" w:hAnsi="Times New Roman" w:eastAsia="Times New Roman" w:cs="Times New Roman"/>
            <w:sz w:val="28"/>
            <w:highlight w:val="white"/>
          </w:rPr>
          <w:t xml:space="preserve">https://data.gov.ua/</w:t>
        </w:r>
        <w:r>
          <w:rPr>
            <w:rStyle w:val="900"/>
            <w:rFonts w:ascii="Times New Roman" w:hAnsi="Times New Roman" w:eastAsia="Times New Roman" w:cs="Times New Roman"/>
            <w:sz w:val="28"/>
            <w:highlight w:val="none"/>
          </w:rPr>
        </w:r>
      </w:hyperlink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шляхом оприлюднення набору “Результати інформаційного аудиту”.</w:t>
      </w:r>
      <w:r/>
    </w:p>
    <w:p>
      <w:pPr>
        <w:pStyle w:val="864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134"/>
        </w:tabs>
        <w:spacing w:after="0" w:afterAutospacing="0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Оприлюднити це розпорядження відповідно до вимог чинного законодавства України.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864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134"/>
        </w:tabs>
        <w:spacing w:after="0" w:afterAutospacing="0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Координацію роботи та узагальнення інформації щодо виконання розпорядження покласти на відділ цифрових трансформацій та кіберзахисту Менської міської ради.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864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2"/>
          <w:tab w:val="clear" w:leader="none" w:pos="1134"/>
        </w:tabs>
        <w:spacing w:after="0" w:afterAutospacing="0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Контроль за виконанням розпорядження покласти на керуючого справами виконавчого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комітету Менської міської ради Стародуб Л.О.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/>
        <w:ind w:right="0"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520"/>
          <w:tab w:val="left" w:leader="none" w:pos="6803"/>
        </w:tabs>
        <w:spacing w:after="0" w:afterAutospacing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firstLine="0" w:left="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firstLine="0" w:left="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firstLine="0" w:left="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firstLine="0" w:left="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firstLine="0" w:left="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firstLine="0" w:left="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firstLine="0" w:left="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firstLine="0" w:left="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firstLine="0" w:left="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firstLine="0" w:left="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firstLine="0" w:left="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firstLine="0" w:left="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firstLine="0" w:left="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firstLine="0" w:left="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firstLine="0" w:left="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firstLine="0" w:left="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firstLine="0" w:left="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firstLine="0" w:left="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firstLine="0" w:left="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firstLine="0" w:left="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firstLine="0" w:left="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firstLine="0" w:left="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firstLine="0" w:left="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firstLine="0" w:left="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firstLine="0" w:left="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firstLine="0" w:left="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firstLine="0" w:left="0"/>
      </w:pPr>
      <w:rPr/>
      <w:start w:val="1"/>
      <w:suff w:val="tab"/>
    </w:lvl>
  </w:abstractNum>
  <w:abstractNum w:abstractNumId="7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5">
    <w:name w:val="Placeholder Text"/>
    <w:basedOn w:val="915"/>
    <w:uiPriority w:val="99"/>
    <w:semiHidden/>
    <w:pPr>
      <w:pBdr/>
      <w:spacing/>
      <w:ind/>
    </w:pPr>
    <w:rPr>
      <w:color w:val="666666"/>
    </w:rPr>
  </w:style>
  <w:style w:type="character" w:styleId="726">
    <w:name w:val="Intense Emphasis"/>
    <w:basedOn w:val="91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7">
    <w:name w:val="Intense Reference"/>
    <w:basedOn w:val="91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8">
    <w:name w:val="Subtle Emphasis"/>
    <w:basedOn w:val="91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9">
    <w:name w:val="Emphasis"/>
    <w:basedOn w:val="915"/>
    <w:uiPriority w:val="20"/>
    <w:qFormat/>
    <w:pPr>
      <w:pBdr/>
      <w:spacing/>
      <w:ind/>
    </w:pPr>
    <w:rPr>
      <w:i/>
      <w:iCs/>
    </w:rPr>
  </w:style>
  <w:style w:type="character" w:styleId="730">
    <w:name w:val="Strong"/>
    <w:basedOn w:val="915"/>
    <w:uiPriority w:val="22"/>
    <w:qFormat/>
    <w:pPr>
      <w:pBdr/>
      <w:spacing/>
      <w:ind/>
    </w:pPr>
    <w:rPr>
      <w:b/>
      <w:bCs/>
    </w:rPr>
  </w:style>
  <w:style w:type="character" w:styleId="731">
    <w:name w:val="Subtle Reference"/>
    <w:basedOn w:val="91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2">
    <w:name w:val="Book Title"/>
    <w:basedOn w:val="91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3">
    <w:name w:val="FollowedHyperlink"/>
    <w:basedOn w:val="91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4">
    <w:name w:val="Caption"/>
    <w:basedOn w:val="914"/>
    <w:next w:val="91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5">
    <w:name w:val="Caption Char"/>
    <w:basedOn w:val="734"/>
    <w:link w:val="876"/>
    <w:uiPriority w:val="99"/>
    <w:pPr>
      <w:pBdr/>
      <w:spacing/>
      <w:ind/>
    </w:pPr>
  </w:style>
  <w:style w:type="paragraph" w:styleId="736">
    <w:name w:val="endnote text"/>
    <w:basedOn w:val="914"/>
    <w:link w:val="7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37">
    <w:name w:val="Endnote Text Char"/>
    <w:link w:val="736"/>
    <w:uiPriority w:val="99"/>
    <w:pPr>
      <w:pBdr/>
      <w:spacing/>
      <w:ind/>
    </w:pPr>
    <w:rPr>
      <w:sz w:val="20"/>
    </w:rPr>
  </w:style>
  <w:style w:type="character" w:styleId="738">
    <w:name w:val="endnote reference"/>
    <w:basedOn w:val="915"/>
    <w:uiPriority w:val="99"/>
    <w:semiHidden/>
    <w:unhideWhenUsed/>
    <w:pPr>
      <w:pBdr/>
      <w:spacing/>
      <w:ind/>
    </w:pPr>
    <w:rPr>
      <w:vertAlign w:val="superscript"/>
    </w:rPr>
  </w:style>
  <w:style w:type="paragraph" w:styleId="739">
    <w:name w:val="table of figures"/>
    <w:basedOn w:val="914"/>
    <w:next w:val="914"/>
    <w:uiPriority w:val="99"/>
    <w:unhideWhenUsed/>
    <w:pPr>
      <w:pBdr/>
      <w:spacing w:after="0" w:afterAutospacing="0"/>
      <w:ind/>
    </w:pPr>
  </w:style>
  <w:style w:type="table" w:styleId="740">
    <w:name w:val="Table Grid Light"/>
    <w:basedOn w:val="91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1"/>
    <w:basedOn w:val="91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2"/>
    <w:basedOn w:val="91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"/>
    <w:basedOn w:val="9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1"/>
    <w:basedOn w:val="9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2"/>
    <w:basedOn w:val="9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3"/>
    <w:basedOn w:val="9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4"/>
    <w:basedOn w:val="9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 - Accent 5"/>
    <w:basedOn w:val="9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 - Accent 6"/>
    <w:basedOn w:val="9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6 Colorful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7 Colorful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6">
    <w:name w:val="Heading 1"/>
    <w:basedOn w:val="914"/>
    <w:next w:val="914"/>
    <w:link w:val="84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47">
    <w:name w:val="Heading 1 Char"/>
    <w:basedOn w:val="915"/>
    <w:link w:val="84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48">
    <w:name w:val="Heading 2"/>
    <w:basedOn w:val="914"/>
    <w:next w:val="914"/>
    <w:link w:val="84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49">
    <w:name w:val="Heading 2 Char"/>
    <w:basedOn w:val="915"/>
    <w:link w:val="84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50">
    <w:name w:val="Heading 3"/>
    <w:basedOn w:val="914"/>
    <w:next w:val="914"/>
    <w:link w:val="85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51">
    <w:name w:val="Heading 3 Char"/>
    <w:basedOn w:val="915"/>
    <w:link w:val="85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52">
    <w:name w:val="Heading 4"/>
    <w:basedOn w:val="914"/>
    <w:next w:val="914"/>
    <w:link w:val="85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53">
    <w:name w:val="Heading 4 Char"/>
    <w:basedOn w:val="915"/>
    <w:link w:val="85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54">
    <w:name w:val="Heading 5"/>
    <w:basedOn w:val="914"/>
    <w:next w:val="914"/>
    <w:link w:val="85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55">
    <w:name w:val="Heading 5 Char"/>
    <w:basedOn w:val="915"/>
    <w:link w:val="85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56">
    <w:name w:val="Heading 6"/>
    <w:basedOn w:val="914"/>
    <w:next w:val="914"/>
    <w:link w:val="85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57">
    <w:name w:val="Heading 6 Char"/>
    <w:basedOn w:val="915"/>
    <w:link w:val="85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58">
    <w:name w:val="Heading 7"/>
    <w:basedOn w:val="914"/>
    <w:next w:val="914"/>
    <w:link w:val="85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9">
    <w:name w:val="Heading 7 Char"/>
    <w:basedOn w:val="915"/>
    <w:link w:val="85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60">
    <w:name w:val="Heading 8"/>
    <w:basedOn w:val="914"/>
    <w:next w:val="914"/>
    <w:link w:val="86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61">
    <w:name w:val="Heading 8 Char"/>
    <w:basedOn w:val="915"/>
    <w:link w:val="86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62">
    <w:name w:val="Heading 9"/>
    <w:basedOn w:val="914"/>
    <w:next w:val="914"/>
    <w:link w:val="86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63">
    <w:name w:val="Heading 9 Char"/>
    <w:basedOn w:val="915"/>
    <w:link w:val="8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64">
    <w:name w:val="List Paragraph"/>
    <w:basedOn w:val="914"/>
    <w:uiPriority w:val="34"/>
    <w:qFormat/>
    <w:pPr>
      <w:pBdr/>
      <w:spacing/>
      <w:ind w:left="720"/>
      <w:contextualSpacing w:val="true"/>
    </w:pPr>
  </w:style>
  <w:style w:type="paragraph" w:styleId="865">
    <w:name w:val="No Spacing"/>
    <w:uiPriority w:val="1"/>
    <w:qFormat/>
    <w:pPr>
      <w:pBdr/>
      <w:spacing w:after="0" w:before="0" w:line="240" w:lineRule="auto"/>
      <w:ind/>
    </w:pPr>
  </w:style>
  <w:style w:type="paragraph" w:styleId="866">
    <w:name w:val="Title"/>
    <w:basedOn w:val="914"/>
    <w:next w:val="914"/>
    <w:link w:val="86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67">
    <w:name w:val="Title Char"/>
    <w:basedOn w:val="915"/>
    <w:link w:val="866"/>
    <w:uiPriority w:val="10"/>
    <w:pPr>
      <w:pBdr/>
      <w:spacing/>
      <w:ind/>
    </w:pPr>
    <w:rPr>
      <w:sz w:val="48"/>
      <w:szCs w:val="48"/>
    </w:rPr>
  </w:style>
  <w:style w:type="paragraph" w:styleId="868">
    <w:name w:val="Subtitle"/>
    <w:basedOn w:val="914"/>
    <w:next w:val="914"/>
    <w:link w:val="86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9">
    <w:name w:val="Subtitle Char"/>
    <w:basedOn w:val="915"/>
    <w:link w:val="868"/>
    <w:uiPriority w:val="11"/>
    <w:pPr>
      <w:pBdr/>
      <w:spacing/>
      <w:ind/>
    </w:pPr>
    <w:rPr>
      <w:sz w:val="24"/>
      <w:szCs w:val="24"/>
    </w:rPr>
  </w:style>
  <w:style w:type="paragraph" w:styleId="870">
    <w:name w:val="Quote"/>
    <w:basedOn w:val="914"/>
    <w:next w:val="914"/>
    <w:link w:val="871"/>
    <w:uiPriority w:val="29"/>
    <w:qFormat/>
    <w:pPr>
      <w:pBdr/>
      <w:spacing/>
      <w:ind w:right="720" w:left="720"/>
    </w:pPr>
    <w:rPr>
      <w:i/>
    </w:rPr>
  </w:style>
  <w:style w:type="character" w:styleId="871">
    <w:name w:val="Quote Char"/>
    <w:link w:val="870"/>
    <w:uiPriority w:val="29"/>
    <w:pPr>
      <w:pBdr/>
      <w:spacing/>
      <w:ind/>
    </w:pPr>
    <w:rPr>
      <w:i/>
    </w:rPr>
  </w:style>
  <w:style w:type="paragraph" w:styleId="872">
    <w:name w:val="Intense Quote"/>
    <w:basedOn w:val="914"/>
    <w:next w:val="914"/>
    <w:link w:val="87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73">
    <w:name w:val="Intense Quote Char"/>
    <w:link w:val="872"/>
    <w:uiPriority w:val="30"/>
    <w:pPr>
      <w:pBdr/>
      <w:spacing/>
      <w:ind/>
    </w:pPr>
    <w:rPr>
      <w:i/>
    </w:rPr>
  </w:style>
  <w:style w:type="paragraph" w:styleId="874">
    <w:name w:val="Header"/>
    <w:basedOn w:val="914"/>
    <w:link w:val="87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75">
    <w:name w:val="Header Char"/>
    <w:basedOn w:val="915"/>
    <w:link w:val="874"/>
    <w:uiPriority w:val="99"/>
    <w:pPr>
      <w:pBdr/>
      <w:spacing/>
      <w:ind/>
    </w:pPr>
  </w:style>
  <w:style w:type="paragraph" w:styleId="876">
    <w:name w:val="Footer"/>
    <w:basedOn w:val="914"/>
    <w:link w:val="87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77">
    <w:name w:val="Footer Char"/>
    <w:basedOn w:val="915"/>
    <w:link w:val="876"/>
    <w:uiPriority w:val="99"/>
    <w:pPr>
      <w:pBdr/>
      <w:spacing/>
      <w:ind/>
    </w:pPr>
  </w:style>
  <w:style w:type="table" w:styleId="878">
    <w:name w:val="Table Grid"/>
    <w:basedOn w:val="91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1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2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3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4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5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6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 1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 2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 - Accent 3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&amp; Lined - Accent 4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&amp; Lined - Accent 5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&amp; Lined - Accent 6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01">
    <w:name w:val="footnote text"/>
    <w:basedOn w:val="914"/>
    <w:link w:val="90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02">
    <w:name w:val="Footnote Text Char"/>
    <w:link w:val="901"/>
    <w:uiPriority w:val="99"/>
    <w:pPr>
      <w:pBdr/>
      <w:spacing/>
      <w:ind/>
    </w:pPr>
    <w:rPr>
      <w:sz w:val="18"/>
    </w:rPr>
  </w:style>
  <w:style w:type="character" w:styleId="903">
    <w:name w:val="footnote reference"/>
    <w:basedOn w:val="915"/>
    <w:uiPriority w:val="99"/>
    <w:unhideWhenUsed/>
    <w:pPr>
      <w:pBdr/>
      <w:spacing/>
      <w:ind/>
    </w:pPr>
    <w:rPr>
      <w:vertAlign w:val="superscript"/>
    </w:rPr>
  </w:style>
  <w:style w:type="paragraph" w:styleId="904">
    <w:name w:val="toc 1"/>
    <w:basedOn w:val="914"/>
    <w:next w:val="914"/>
    <w:uiPriority w:val="39"/>
    <w:unhideWhenUsed/>
    <w:pPr>
      <w:pBdr/>
      <w:spacing w:after="57"/>
      <w:ind w:right="0" w:firstLine="0" w:left="0"/>
    </w:pPr>
  </w:style>
  <w:style w:type="paragraph" w:styleId="905">
    <w:name w:val="toc 2"/>
    <w:basedOn w:val="914"/>
    <w:next w:val="914"/>
    <w:uiPriority w:val="39"/>
    <w:unhideWhenUsed/>
    <w:pPr>
      <w:pBdr/>
      <w:spacing w:after="57"/>
      <w:ind w:right="0" w:firstLine="0" w:left="283"/>
    </w:pPr>
  </w:style>
  <w:style w:type="paragraph" w:styleId="906">
    <w:name w:val="toc 3"/>
    <w:basedOn w:val="914"/>
    <w:next w:val="914"/>
    <w:uiPriority w:val="39"/>
    <w:unhideWhenUsed/>
    <w:pPr>
      <w:pBdr/>
      <w:spacing w:after="57"/>
      <w:ind w:right="0" w:firstLine="0" w:left="567"/>
    </w:pPr>
  </w:style>
  <w:style w:type="paragraph" w:styleId="907">
    <w:name w:val="toc 4"/>
    <w:basedOn w:val="914"/>
    <w:next w:val="914"/>
    <w:uiPriority w:val="39"/>
    <w:unhideWhenUsed/>
    <w:pPr>
      <w:pBdr/>
      <w:spacing w:after="57"/>
      <w:ind w:right="0" w:firstLine="0" w:left="850"/>
    </w:pPr>
  </w:style>
  <w:style w:type="paragraph" w:styleId="908">
    <w:name w:val="toc 5"/>
    <w:basedOn w:val="914"/>
    <w:next w:val="914"/>
    <w:uiPriority w:val="39"/>
    <w:unhideWhenUsed/>
    <w:pPr>
      <w:pBdr/>
      <w:spacing w:after="57"/>
      <w:ind w:right="0" w:firstLine="0" w:left="1134"/>
    </w:pPr>
  </w:style>
  <w:style w:type="paragraph" w:styleId="909">
    <w:name w:val="toc 6"/>
    <w:basedOn w:val="914"/>
    <w:next w:val="914"/>
    <w:uiPriority w:val="39"/>
    <w:unhideWhenUsed/>
    <w:pPr>
      <w:pBdr/>
      <w:spacing w:after="57"/>
      <w:ind w:right="0" w:firstLine="0" w:left="1417"/>
    </w:pPr>
  </w:style>
  <w:style w:type="paragraph" w:styleId="910">
    <w:name w:val="toc 7"/>
    <w:basedOn w:val="914"/>
    <w:next w:val="914"/>
    <w:uiPriority w:val="39"/>
    <w:unhideWhenUsed/>
    <w:pPr>
      <w:pBdr/>
      <w:spacing w:after="57"/>
      <w:ind w:right="0" w:firstLine="0" w:left="1701"/>
    </w:pPr>
  </w:style>
  <w:style w:type="paragraph" w:styleId="911">
    <w:name w:val="toc 8"/>
    <w:basedOn w:val="914"/>
    <w:next w:val="914"/>
    <w:uiPriority w:val="39"/>
    <w:unhideWhenUsed/>
    <w:pPr>
      <w:pBdr/>
      <w:spacing w:after="57"/>
      <w:ind w:right="0" w:firstLine="0" w:left="1984"/>
    </w:pPr>
  </w:style>
  <w:style w:type="paragraph" w:styleId="912">
    <w:name w:val="toc 9"/>
    <w:basedOn w:val="914"/>
    <w:next w:val="914"/>
    <w:uiPriority w:val="39"/>
    <w:unhideWhenUsed/>
    <w:pPr>
      <w:pBdr/>
      <w:spacing w:after="57"/>
      <w:ind w:right="0" w:firstLine="0" w:left="2268"/>
    </w:pPr>
  </w:style>
  <w:style w:type="paragraph" w:styleId="913">
    <w:name w:val="TOC Heading"/>
    <w:uiPriority w:val="39"/>
    <w:unhideWhenUsed/>
    <w:pPr>
      <w:pBdr/>
      <w:spacing/>
      <w:ind/>
    </w:pPr>
  </w:style>
  <w:style w:type="paragraph" w:styleId="914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15" w:default="1">
    <w:name w:val="Default Paragraph Font"/>
    <w:uiPriority w:val="1"/>
    <w:semiHidden/>
    <w:unhideWhenUsed/>
    <w:pPr>
      <w:pBdr/>
      <w:spacing/>
      <w:ind/>
    </w:pPr>
  </w:style>
  <w:style w:type="table" w:styleId="91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7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yperlink" Target="https://mena.cg.gov.ua/" TargetMode="External"/><Relationship Id="rId13" Type="http://schemas.openxmlformats.org/officeDocument/2006/relationships/hyperlink" Target="https://data.gov.ua/" TargetMode="External"/><Relationship Id="rId14" Type="http://schemas.openxmlformats.org/officeDocument/2006/relationships/hyperlink" Target="https://data.gov.ua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СТАЛЬНИЧЕНКО Юрій Валерійович</cp:lastModifiedBy>
  <cp:revision>24</cp:revision>
  <dcterms:modified xsi:type="dcterms:W3CDTF">2026-07-10T16:29:53Z</dcterms:modified>
</cp:coreProperties>
</file>