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третя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травня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300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Про припинення в порядку реорганізації шляхом приєднання юридичної особи –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Волосківська гімназія Менської міської ради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–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та створення філії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закладу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метою приведення до вимог чинного законодавства України мережі закладів освіти Менської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міської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територіальної громади, керуючись рішенням сорок шостої сесії Менської міської ради 8 скликання від 21 березня 2024 року 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149 «Про затвердження Перспективного плану формування спроможної мережі закладів освіти Менської міської територіальної громади на 2024-2027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рішенням п’ятдесят п’ятої сесії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рішенням сімдесят третьої сесії Менської міської ради восьмого скликання від 22 травня 2026 року №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302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Про перепрофілювання (зміну типу), зміну найменування та затвердження Статуту Дягівської гімназії Менської міської ради в новій редакції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Законами України «Про освіту», «Про повну загальну середню освіту», 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ст.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ст. ст.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104, 105, 106, 107 Цивільного кодексу України, Законами України «Про державну реєстрацію юридичних осіб, фізичних осіб-підприємців та громадських формувань», статтею 26 Закону «Про місцеве самоврядування в Україні, Менська міська рада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1. Внести зміни до структури Волосківської гімназії Менської міської ради, ліквідувавши дошкільний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підрозділ Волосківської гімназії Менської міської ради.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Припинити в порядку реорганізації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/>
        </w:rPr>
        <w:t xml:space="preserve">Волосківську гімназію Менської міської ради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(код ЄДРПОУ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33361118) шляхом приєднання до Дягівської гімназії Менської міської ради (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код ЄДРПОУ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33322278) з подальшим створенням Волосківської філії Дягівської гімназії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Створити Волосківську філію Дягівської гімназії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(без статусу юридичної особи)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з 01.09.2026 року.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val="uk-UA" w:eastAsia="zh-CN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Встановити строк заявлення вимог кредиторів  при припиненні в порядку реорганізації шляхом приєднання вищезазначеного закладу освіти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 – 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два місяці з дня оприлюднення повідомлення про рішення щодо припинення. Вимоги кредиторів приймаються за адресою: с. Волосківці, вул. Першого травня, 36, Корюківський р-н, Чернігівська обл.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Визначити Дягівську гімназію Менської міської ради правонаступником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/>
        </w:rPr>
        <w:t xml:space="preserve">Волосківської гімназії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Створити комісію з припинення Волосківської гімназії Менської міської ради в порядку реорганізації шляхом приєднання до Дягівської гімназії Менської міської ради (далі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Комісії з припинення в установленому законодавством порядку здійснити заходи щодо припинення в порядку реорганізації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ru-RU"/>
        </w:rPr>
        <w:t xml:space="preserve">Волосківської гімназії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шляхом приєднання до Дягівської гімназії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Голові комісії з припинення: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.1. Подати державному реєстратору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дане рішення, а також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документи, необхідні для проведення державної реєстрації припинення в порядку реорганізації юридичної особи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.2. Провести необхідні заходи, пов’язані з процедурою припинення в порядку реорганізації шляхом приєднання Волосківської гімназії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Відділу освіти Менської міської ради забезпечити функціонування Волосківської філії Дягівської гімназії Менської міської ради.</w:t>
      </w: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sz w:val="28"/>
          <w:szCs w:val="28"/>
          <w:lang w:val="uk-UA" w:eastAsia="zh-CN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  <w:t xml:space="preserve">Контроль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  <w:t xml:space="preserve"> ради Прищепу В.В.</w:t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lang w:val="uk-UA" w:eastAsia="zh-CN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4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8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1" w:default="1">
    <w:name w:val="Normal"/>
    <w:qFormat/>
    <w:pPr>
      <w:pBdr/>
      <w:spacing/>
      <w:ind/>
    </w:pPr>
  </w:style>
  <w:style w:type="paragraph" w:styleId="762">
    <w:name w:val="Heading 1"/>
    <w:basedOn w:val="761"/>
    <w:next w:val="761"/>
    <w:link w:val="9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3">
    <w:name w:val="Heading 2"/>
    <w:basedOn w:val="761"/>
    <w:next w:val="761"/>
    <w:link w:val="9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4">
    <w:name w:val="Heading 3"/>
    <w:basedOn w:val="761"/>
    <w:next w:val="761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5">
    <w:name w:val="Heading 4"/>
    <w:basedOn w:val="761"/>
    <w:next w:val="761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6">
    <w:name w:val="Heading 5"/>
    <w:basedOn w:val="761"/>
    <w:next w:val="761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7">
    <w:name w:val="Heading 6"/>
    <w:basedOn w:val="761"/>
    <w:next w:val="761"/>
    <w:link w:val="9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61"/>
    <w:next w:val="761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61"/>
    <w:next w:val="761"/>
    <w:link w:val="9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61"/>
    <w:next w:val="761"/>
    <w:link w:val="9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default="1">
    <w:name w:val="Default Paragraph Font"/>
    <w:uiPriority w:val="1"/>
    <w:semiHidden/>
    <w:unhideWhenUsed/>
    <w:pPr>
      <w:pBdr/>
      <w:spacing/>
      <w:ind/>
    </w:pPr>
  </w:style>
  <w:style w:type="table" w:styleId="7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3" w:default="1">
    <w:name w:val="No List"/>
    <w:uiPriority w:val="99"/>
    <w:semiHidden/>
    <w:unhideWhenUsed/>
    <w:pPr>
      <w:pBdr/>
      <w:spacing/>
      <w:ind/>
    </w:pPr>
  </w:style>
  <w:style w:type="character" w:styleId="774" w:customStyle="1">
    <w:name w:val="Heading 1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5" w:customStyle="1">
    <w:name w:val="Heading 2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6" w:customStyle="1">
    <w:name w:val="Heading 3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77" w:customStyle="1">
    <w:name w:val="Heading 4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78" w:customStyle="1">
    <w:name w:val="Heading 5 Char"/>
    <w:basedOn w:val="77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79" w:customStyle="1">
    <w:name w:val="Heading 6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0" w:customStyle="1">
    <w:name w:val="Heading 7 Char"/>
    <w:basedOn w:val="7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1" w:customStyle="1">
    <w:name w:val="Heading 8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2" w:customStyle="1">
    <w:name w:val="Heading 9 Char"/>
    <w:basedOn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3" w:customStyle="1">
    <w:name w:val="Title Char"/>
    <w:basedOn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4" w:customStyle="1">
    <w:name w:val="Subtitle Char"/>
    <w:basedOn w:val="7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5" w:customStyle="1">
    <w:name w:val="Quote Char"/>
    <w:basedOn w:val="77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6" w:customStyle="1">
    <w:name w:val="Intense Quote Char"/>
    <w:basedOn w:val="77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87" w:customStyle="1">
    <w:name w:val="Header Char"/>
    <w:basedOn w:val="771"/>
    <w:uiPriority w:val="99"/>
    <w:pPr>
      <w:pBdr/>
      <w:spacing/>
      <w:ind/>
    </w:pPr>
  </w:style>
  <w:style w:type="character" w:styleId="788" w:customStyle="1">
    <w:name w:val="Footer Char"/>
    <w:basedOn w:val="771"/>
    <w:uiPriority w:val="99"/>
    <w:pPr>
      <w:pBdr/>
      <w:spacing/>
      <w:ind/>
    </w:pPr>
  </w:style>
  <w:style w:type="character" w:styleId="789" w:customStyle="1">
    <w:name w:val="Foot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character" w:styleId="790" w:customStyle="1">
    <w:name w:val="Endnote Text Char"/>
    <w:basedOn w:val="771"/>
    <w:uiPriority w:val="99"/>
    <w:semiHidden/>
    <w:pPr>
      <w:pBdr/>
      <w:spacing/>
      <w:ind/>
    </w:pPr>
    <w:rPr>
      <w:sz w:val="20"/>
      <w:szCs w:val="20"/>
    </w:rPr>
  </w:style>
  <w:style w:type="paragraph" w:styleId="791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792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793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794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795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796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797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798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799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800">
    <w:name w:val="Placeholder Text"/>
    <w:basedOn w:val="771"/>
    <w:uiPriority w:val="99"/>
    <w:semiHidden/>
    <w:pPr>
      <w:pBdr/>
      <w:spacing/>
      <w:ind/>
    </w:pPr>
    <w:rPr>
      <w:color w:val="666666"/>
    </w:rPr>
  </w:style>
  <w:style w:type="table" w:styleId="801">
    <w:name w:val="Table Grid"/>
    <w:basedOn w:val="772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Table Grid Light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basedOn w:val="77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basedOn w:val="77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basedOn w:val="77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1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2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3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4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5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6"/>
    <w:basedOn w:val="772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1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2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3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4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5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6"/>
    <w:basedOn w:val="7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 w:customStyle="1">
    <w:name w:val="Заголовок 1 Знак"/>
    <w:basedOn w:val="771"/>
    <w:link w:val="76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28" w:customStyle="1">
    <w:name w:val="Заголовок 2 Знак"/>
    <w:basedOn w:val="771"/>
    <w:link w:val="76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29" w:customStyle="1">
    <w:name w:val="Заголовок 3 Знак"/>
    <w:basedOn w:val="771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0" w:customStyle="1">
    <w:name w:val="Заголовок 4 Знак"/>
    <w:basedOn w:val="771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1" w:customStyle="1">
    <w:name w:val="Заголовок 5 Знак"/>
    <w:basedOn w:val="771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2" w:customStyle="1">
    <w:name w:val="Заголовок 6 Знак"/>
    <w:basedOn w:val="771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 w:customStyle="1">
    <w:name w:val="Заголовок 7 Знак"/>
    <w:basedOn w:val="771"/>
    <w:link w:val="7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 w:customStyle="1">
    <w:name w:val="Заголовок 8 Знак"/>
    <w:basedOn w:val="771"/>
    <w:link w:val="7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 w:customStyle="1">
    <w:name w:val="Заголовок 9 Знак"/>
    <w:basedOn w:val="771"/>
    <w:link w:val="7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Title"/>
    <w:basedOn w:val="761"/>
    <w:next w:val="761"/>
    <w:link w:val="9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7" w:customStyle="1">
    <w:name w:val="Назва Знак"/>
    <w:basedOn w:val="771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761"/>
    <w:next w:val="761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 w:customStyle="1">
    <w:name w:val="Підзаголовок Знак"/>
    <w:basedOn w:val="771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761"/>
    <w:next w:val="761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 w:customStyle="1">
    <w:name w:val="Цитата Знак"/>
    <w:basedOn w:val="771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77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3">
    <w:name w:val="Intense Quote"/>
    <w:basedOn w:val="761"/>
    <w:next w:val="761"/>
    <w:link w:val="94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4" w:customStyle="1">
    <w:name w:val="Насичена цитата Знак"/>
    <w:basedOn w:val="771"/>
    <w:link w:val="94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5">
    <w:name w:val="Intense Reference"/>
    <w:basedOn w:val="77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6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947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2">
    <w:name w:val="Header"/>
    <w:basedOn w:val="761"/>
    <w:link w:val="9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3" w:customStyle="1">
    <w:name w:val="Верхній колонтитул Знак"/>
    <w:basedOn w:val="771"/>
    <w:link w:val="952"/>
    <w:uiPriority w:val="99"/>
    <w:pPr>
      <w:pBdr/>
      <w:spacing/>
      <w:ind/>
    </w:pPr>
  </w:style>
  <w:style w:type="paragraph" w:styleId="954">
    <w:name w:val="Footer"/>
    <w:basedOn w:val="761"/>
    <w:link w:val="9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5" w:customStyle="1">
    <w:name w:val="Нижній колонтитул Знак"/>
    <w:basedOn w:val="771"/>
    <w:link w:val="954"/>
    <w:uiPriority w:val="99"/>
    <w:pPr>
      <w:pBdr/>
      <w:spacing/>
      <w:ind/>
    </w:pPr>
  </w:style>
  <w:style w:type="paragraph" w:styleId="956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7">
    <w:name w:val="footnote text"/>
    <w:basedOn w:val="761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 w:customStyle="1">
    <w:name w:val="Текст виноски Знак"/>
    <w:basedOn w:val="771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foot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761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 w:customStyle="1">
    <w:name w:val="Текст кінцевої виноски Знак"/>
    <w:basedOn w:val="771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endnote reference"/>
    <w:basedOn w:val="771"/>
    <w:uiPriority w:val="99"/>
    <w:semiHidden/>
    <w:unhideWhenUsed/>
    <w:pPr>
      <w:pBdr/>
      <w:spacing/>
      <w:ind/>
    </w:pPr>
    <w:rPr>
      <w:vertAlign w:val="superscript"/>
    </w:rPr>
  </w:style>
  <w:style w:type="character" w:styleId="963">
    <w:name w:val="Hyperlink"/>
    <w:basedOn w:val="7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4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5">
    <w:name w:val="TOC Heading"/>
    <w:uiPriority w:val="39"/>
    <w:unhideWhenUsed/>
    <w:pPr>
      <w:pBdr/>
      <w:spacing/>
      <w:ind/>
    </w:pPr>
  </w:style>
  <w:style w:type="paragraph" w:styleId="966">
    <w:name w:val="table of figures"/>
    <w:basedOn w:val="761"/>
    <w:next w:val="761"/>
    <w:uiPriority w:val="99"/>
    <w:unhideWhenUsed/>
    <w:pPr>
      <w:pBdr/>
      <w:spacing w:after="0"/>
      <w:ind/>
    </w:pPr>
  </w:style>
  <w:style w:type="paragraph" w:styleId="967">
    <w:name w:val="List Paragraph"/>
    <w:basedOn w:val="761"/>
    <w:uiPriority w:val="34"/>
    <w:qFormat/>
    <w:pPr>
      <w:pBdr/>
      <w:spacing/>
      <w:ind w:left="720"/>
      <w:contextualSpacing w:val="true"/>
    </w:pPr>
  </w:style>
  <w:style w:type="character" w:styleId="968" w:customStyle="1">
    <w:name w:val="Основной текст (2)_"/>
    <w:basedOn w:val="771"/>
    <w:link w:val="969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69" w:customStyle="1">
    <w:name w:val="Основной текст (2)"/>
    <w:basedOn w:val="761"/>
    <w:link w:val="968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0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1" w:customStyle="1">
    <w:name w:val="docy"/>
    <w:basedOn w:val="771"/>
    <w:pPr>
      <w:pBdr/>
      <w:spacing/>
      <w:ind/>
    </w:pPr>
  </w:style>
  <w:style w:type="paragraph" w:styleId="972" w:customStyle="1">
    <w:name w:val="Основной текст1"/>
    <w:basedOn w:val="761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6</cp:revision>
  <dcterms:created xsi:type="dcterms:W3CDTF">2026-05-04T12:50:00Z</dcterms:created>
  <dcterms:modified xsi:type="dcterms:W3CDTF">2026-05-22T18:49:39Z</dcterms:modified>
</cp:coreProperties>
</file>