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1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1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третя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71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73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травня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335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рішення 72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від 17.04.2026 року № 267</w:t>
      </w:r>
      <w:r>
        <w:rPr>
          <w:b/>
          <w:bCs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приведених даних у відповідність до поданих документів, виникла необхідність внесення змін до рішення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72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 Менської міської ради 8 скликання від 17.04.2026 за № 267 «Про затвердження технічної документації із землеустр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ою по встановленню меж земельних ділянок (паї) громадянам на території Менської міської територіальної громади»,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ст.12 Земельного кодексу України, ст. 26 Закону України «Про місцеве самоврядування в Україні», Менська міська рада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 до рішення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72 сесії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  8 скликання від 17.04.2026 року № 267 «Про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и», замінивши в пункті 1 рішення позицію: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«за межами с. Осьмаки: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Сірий Олександр Миколайович</w:t>
        <w:tab/>
        <w:t xml:space="preserve">0,5965 га</w:t>
        <w:tab/>
        <w:t xml:space="preserve">7423087200:03:000:0109</w:t>
      </w:r>
      <w:r/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Сірий Олександр Миколайович</w:t>
        <w:tab/>
        <w:t xml:space="preserve">1,2076 га</w:t>
        <w:tab/>
        <w:t xml:space="preserve">7423087200:03:000:0146» на позицію: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«за межами с. Осьмаки: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Сірий Олександр Миколайович</w:t>
        <w:tab/>
        <w:t xml:space="preserve">0,5965 га</w:t>
        <w:tab/>
        <w:t xml:space="preserve">7423087200:03:000:0109-(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частки);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Сірий Олександр Миколайович</w:t>
        <w:tab/>
        <w:t xml:space="preserve">1,2076 га</w:t>
        <w:tab/>
        <w:t xml:space="preserve">7423087200:03:000:0146-(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частки)».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Сірого О.М.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7F128297"/>
    <w:lvl w:ilvl="0">
      <w:isLgl w:val="false"/>
      <w:lvlJc w:val="left"/>
      <w:lvlText w:val="%1)"/>
      <w:numFmt w:val="decimal"/>
      <w:pPr>
        <w:pBdr/>
        <w:spacing/>
        <w:ind w:hanging="360" w:left="10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nsid w:val="64211A0F"/>
    <w:lvl w:ilvl="0">
      <w:isLgl w:val="false"/>
      <w:lvlJc w:val="lef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nsid w:val="0C1BEB32"/>
    <w:lvl w:ilvl="0">
      <w:isLgl w:val="false"/>
      <w:lvlJc w:val="left"/>
      <w:lvlText w:val="%1)"/>
      <w:numFmt w:val="decimal"/>
      <w:pPr>
        <w:pBdr/>
        <w:spacing/>
        <w:ind w:hanging="360" w:left="10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4">
    <w:nsid w:val="08D4D73E"/>
    <w:lvl w:ilvl="0">
      <w:isLgl w:val="false"/>
      <w:lvlJc w:val="left"/>
      <w:lvlText w:val="%1)"/>
      <w:numFmt w:val="decimal"/>
      <w:pPr>
        <w:pBdr/>
        <w:spacing/>
        <w:ind w:hanging="360" w:left="10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5">
    <w:nsid w:val="19F8F6A2"/>
    <w:lvl w:ilvl="0">
      <w:isLgl w:val="false"/>
      <w:lvlJc w:val="lef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6">
    <w:nsid w:val="7A38398D"/>
    <w:lvl w:ilvl="0">
      <w:isLgl w:val="false"/>
      <w:lvlJc w:val="left"/>
      <w:lvlText w:val="%1)"/>
      <w:numFmt w:val="decimal"/>
      <w:pPr>
        <w:pBdr/>
        <w:spacing/>
        <w:ind w:hanging="360" w:left="10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Intense Emphasis"/>
    <w:basedOn w:val="9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3">
    <w:name w:val="Intense Reference"/>
    <w:basedOn w:val="9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4">
    <w:name w:val="Subtle Emphasis"/>
    <w:basedOn w:val="9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5">
    <w:name w:val="Emphasis"/>
    <w:basedOn w:val="950"/>
    <w:uiPriority w:val="20"/>
    <w:qFormat/>
    <w:pPr>
      <w:pBdr/>
      <w:spacing/>
      <w:ind/>
    </w:pPr>
    <w:rPr>
      <w:i/>
      <w:iCs/>
    </w:rPr>
  </w:style>
  <w:style w:type="character" w:styleId="766">
    <w:name w:val="Strong"/>
    <w:basedOn w:val="950"/>
    <w:uiPriority w:val="22"/>
    <w:qFormat/>
    <w:pPr>
      <w:pBdr/>
      <w:spacing/>
      <w:ind/>
    </w:pPr>
    <w:rPr>
      <w:b/>
      <w:bCs/>
    </w:rPr>
  </w:style>
  <w:style w:type="character" w:styleId="767">
    <w:name w:val="Subtle Reference"/>
    <w:basedOn w:val="9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8">
    <w:name w:val="Book Title"/>
    <w:basedOn w:val="9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9">
    <w:name w:val="FollowedHyperlink"/>
    <w:basedOn w:val="9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0">
    <w:name w:val="Placeholder Text"/>
    <w:basedOn w:val="950"/>
    <w:uiPriority w:val="99"/>
    <w:semiHidden/>
    <w:pPr>
      <w:pBdr/>
      <w:spacing/>
      <w:ind/>
    </w:pPr>
    <w:rPr>
      <w:color w:val="666666"/>
    </w:rPr>
  </w:style>
  <w:style w:type="paragraph" w:styleId="771">
    <w:name w:val="Heading 1"/>
    <w:basedOn w:val="949"/>
    <w:next w:val="949"/>
    <w:link w:val="77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72">
    <w:name w:val="Heading 1 Char"/>
    <w:link w:val="77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73">
    <w:name w:val="Heading 2"/>
    <w:basedOn w:val="949"/>
    <w:next w:val="949"/>
    <w:link w:val="77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4">
    <w:name w:val="Heading 2 Char"/>
    <w:link w:val="77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75">
    <w:name w:val="Heading 3"/>
    <w:basedOn w:val="949"/>
    <w:next w:val="949"/>
    <w:link w:val="77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6">
    <w:name w:val="Heading 3 Char"/>
    <w:link w:val="77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7">
    <w:name w:val="Heading 4"/>
    <w:basedOn w:val="949"/>
    <w:next w:val="94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basedOn w:val="950"/>
    <w:link w:val="7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9"/>
    <w:next w:val="949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basedOn w:val="950"/>
    <w:link w:val="7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9"/>
    <w:next w:val="949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50"/>
    <w:link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9"/>
    <w:next w:val="949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50"/>
    <w:link w:val="7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9"/>
    <w:next w:val="949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50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9"/>
    <w:next w:val="949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50"/>
    <w:link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9">
    <w:name w:val="List Paragraph"/>
    <w:basedOn w:val="949"/>
    <w:uiPriority w:val="34"/>
    <w:qFormat/>
    <w:pPr>
      <w:pBdr/>
      <w:spacing/>
      <w:ind w:left="720"/>
      <w:contextualSpacing w:val="true"/>
    </w:pPr>
  </w:style>
  <w:style w:type="paragraph" w:styleId="790">
    <w:name w:val="No Spacing"/>
    <w:basedOn w:val="94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91">
    <w:name w:val="Title"/>
    <w:basedOn w:val="949"/>
    <w:next w:val="949"/>
    <w:link w:val="7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2">
    <w:name w:val="Title Char"/>
    <w:basedOn w:val="950"/>
    <w:link w:val="791"/>
    <w:uiPriority w:val="10"/>
    <w:pPr>
      <w:pBdr/>
      <w:spacing/>
      <w:ind/>
    </w:pPr>
    <w:rPr>
      <w:sz w:val="48"/>
      <w:szCs w:val="48"/>
    </w:rPr>
  </w:style>
  <w:style w:type="paragraph" w:styleId="793">
    <w:name w:val="Subtitle"/>
    <w:basedOn w:val="949"/>
    <w:next w:val="949"/>
    <w:link w:val="7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4">
    <w:name w:val="Subtitle Char"/>
    <w:basedOn w:val="950"/>
    <w:link w:val="793"/>
    <w:uiPriority w:val="11"/>
    <w:pPr>
      <w:pBdr/>
      <w:spacing/>
      <w:ind/>
    </w:pPr>
    <w:rPr>
      <w:sz w:val="24"/>
      <w:szCs w:val="24"/>
    </w:rPr>
  </w:style>
  <w:style w:type="paragraph" w:styleId="795">
    <w:name w:val="Quote"/>
    <w:basedOn w:val="949"/>
    <w:next w:val="949"/>
    <w:link w:val="796"/>
    <w:uiPriority w:val="29"/>
    <w:qFormat/>
    <w:pPr>
      <w:pBdr/>
      <w:spacing/>
      <w:ind w:right="720" w:left="720"/>
    </w:pPr>
    <w:rPr>
      <w:i/>
    </w:rPr>
  </w:style>
  <w:style w:type="character" w:styleId="796">
    <w:name w:val="Quote Char"/>
    <w:link w:val="795"/>
    <w:uiPriority w:val="29"/>
    <w:pPr>
      <w:pBdr/>
      <w:spacing/>
      <w:ind/>
    </w:pPr>
    <w:rPr>
      <w:i/>
    </w:rPr>
  </w:style>
  <w:style w:type="paragraph" w:styleId="797">
    <w:name w:val="Intense Quote"/>
    <w:basedOn w:val="949"/>
    <w:next w:val="949"/>
    <w:link w:val="7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8">
    <w:name w:val="Intense Quote Char"/>
    <w:link w:val="797"/>
    <w:uiPriority w:val="30"/>
    <w:pPr>
      <w:pBdr/>
      <w:spacing/>
      <w:ind/>
    </w:pPr>
    <w:rPr>
      <w:i/>
    </w:rPr>
  </w:style>
  <w:style w:type="paragraph" w:styleId="799">
    <w:name w:val="Header"/>
    <w:basedOn w:val="949"/>
    <w:link w:val="8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0">
    <w:name w:val="Header Char"/>
    <w:basedOn w:val="950"/>
    <w:link w:val="799"/>
    <w:uiPriority w:val="99"/>
    <w:pPr>
      <w:pBdr/>
      <w:spacing/>
      <w:ind/>
    </w:pPr>
  </w:style>
  <w:style w:type="paragraph" w:styleId="801">
    <w:name w:val="Footer"/>
    <w:basedOn w:val="949"/>
    <w:link w:val="8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02">
    <w:name w:val="Footer Char"/>
    <w:basedOn w:val="950"/>
    <w:link w:val="801"/>
    <w:uiPriority w:val="99"/>
    <w:pPr>
      <w:pBdr/>
      <w:spacing/>
      <w:ind/>
    </w:pPr>
  </w:style>
  <w:style w:type="paragraph" w:styleId="803">
    <w:name w:val="Caption"/>
    <w:basedOn w:val="949"/>
    <w:next w:val="9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4">
    <w:name w:val="Caption Char"/>
    <w:basedOn w:val="803"/>
    <w:link w:val="801"/>
    <w:uiPriority w:val="99"/>
    <w:pPr>
      <w:pBdr/>
      <w:spacing/>
      <w:ind/>
    </w:pPr>
  </w:style>
  <w:style w:type="table" w:styleId="805">
    <w:name w:val="Table Grid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Table Grid Light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1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2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1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2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3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5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6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2">
    <w:name w:val="footnote text"/>
    <w:basedOn w:val="949"/>
    <w:link w:val="93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3">
    <w:name w:val="Footnote Text Char"/>
    <w:link w:val="932"/>
    <w:uiPriority w:val="99"/>
    <w:pPr>
      <w:pBdr/>
      <w:spacing/>
      <w:ind/>
    </w:pPr>
    <w:rPr>
      <w:sz w:val="18"/>
    </w:rPr>
  </w:style>
  <w:style w:type="character" w:styleId="934">
    <w:name w:val="footnote reference"/>
    <w:basedOn w:val="950"/>
    <w:uiPriority w:val="99"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6">
    <w:name w:val="Endnote Text Char"/>
    <w:link w:val="935"/>
    <w:uiPriority w:val="99"/>
    <w:pPr>
      <w:pBdr/>
      <w:spacing/>
      <w:ind/>
    </w:pPr>
    <w:rPr>
      <w:sz w:val="20"/>
    </w:rPr>
  </w:style>
  <w:style w:type="character" w:styleId="937">
    <w:name w:val="endnote reference"/>
    <w:basedOn w:val="950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pBdr/>
      <w:spacing w:after="57"/>
      <w:ind w:right="0" w:firstLine="0" w:left="0"/>
    </w:pPr>
  </w:style>
  <w:style w:type="paragraph" w:styleId="939">
    <w:name w:val="toc 2"/>
    <w:basedOn w:val="949"/>
    <w:next w:val="949"/>
    <w:uiPriority w:val="39"/>
    <w:unhideWhenUsed/>
    <w:pPr>
      <w:pBdr/>
      <w:spacing w:after="57"/>
      <w:ind w:right="0" w:firstLine="0" w:left="283"/>
    </w:pPr>
  </w:style>
  <w:style w:type="paragraph" w:styleId="940">
    <w:name w:val="toc 3"/>
    <w:basedOn w:val="949"/>
    <w:next w:val="949"/>
    <w:uiPriority w:val="39"/>
    <w:unhideWhenUsed/>
    <w:pPr>
      <w:pBdr/>
      <w:spacing w:after="57"/>
      <w:ind w:right="0" w:firstLine="0" w:left="567"/>
    </w:pPr>
  </w:style>
  <w:style w:type="paragraph" w:styleId="941">
    <w:name w:val="toc 4"/>
    <w:basedOn w:val="949"/>
    <w:next w:val="949"/>
    <w:uiPriority w:val="39"/>
    <w:unhideWhenUsed/>
    <w:pPr>
      <w:pBdr/>
      <w:spacing w:after="57"/>
      <w:ind w:right="0" w:firstLine="0" w:left="850"/>
    </w:pPr>
  </w:style>
  <w:style w:type="paragraph" w:styleId="942">
    <w:name w:val="toc 5"/>
    <w:basedOn w:val="949"/>
    <w:next w:val="949"/>
    <w:uiPriority w:val="39"/>
    <w:unhideWhenUsed/>
    <w:pPr>
      <w:pBdr/>
      <w:spacing w:after="57"/>
      <w:ind w:right="0" w:firstLine="0" w:left="1134"/>
    </w:pPr>
  </w:style>
  <w:style w:type="paragraph" w:styleId="943">
    <w:name w:val="toc 6"/>
    <w:basedOn w:val="949"/>
    <w:next w:val="949"/>
    <w:uiPriority w:val="39"/>
    <w:unhideWhenUsed/>
    <w:pPr>
      <w:pBdr/>
      <w:spacing w:after="57"/>
      <w:ind w:right="0" w:firstLine="0" w:left="1417"/>
    </w:pPr>
  </w:style>
  <w:style w:type="paragraph" w:styleId="944">
    <w:name w:val="toc 7"/>
    <w:basedOn w:val="949"/>
    <w:next w:val="949"/>
    <w:uiPriority w:val="39"/>
    <w:unhideWhenUsed/>
    <w:pPr>
      <w:pBdr/>
      <w:spacing w:after="57"/>
      <w:ind w:right="0" w:firstLine="0" w:left="1701"/>
    </w:pPr>
  </w:style>
  <w:style w:type="paragraph" w:styleId="945">
    <w:name w:val="toc 8"/>
    <w:basedOn w:val="949"/>
    <w:next w:val="949"/>
    <w:uiPriority w:val="39"/>
    <w:unhideWhenUsed/>
    <w:pPr>
      <w:pBdr/>
      <w:spacing w:after="57"/>
      <w:ind w:right="0" w:firstLine="0" w:left="1984"/>
    </w:pPr>
  </w:style>
  <w:style w:type="paragraph" w:styleId="946">
    <w:name w:val="toc 9"/>
    <w:basedOn w:val="949"/>
    <w:next w:val="949"/>
    <w:uiPriority w:val="39"/>
    <w:unhideWhenUsed/>
    <w:pPr>
      <w:pBdr/>
      <w:spacing w:after="57"/>
      <w:ind w:right="0" w:firstLine="0" w:left="2268"/>
    </w:p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paragraph" w:styleId="94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50" w:default="1">
    <w:name w:val="Default Paragraph Font"/>
    <w:uiPriority w:val="1"/>
    <w:semiHidden/>
    <w:unhideWhenUsed/>
    <w:pPr>
      <w:pBdr/>
      <w:spacing/>
      <w:ind/>
    </w:pPr>
  </w:style>
  <w:style w:type="table" w:styleId="95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2026-05-22T19:18:45Z</dcterms:modified>
</cp:coreProperties>
</file>