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 xml:space="preserve">Додаток </w:t>
      </w:r>
      <w:r>
        <w:rPr>
          <w:color w:val="000000"/>
          <w:sz w:val="24"/>
          <w:szCs w:val="18"/>
        </w:rPr>
      </w:r>
      <w:r>
        <w:rPr>
          <w:color w:val="000000"/>
          <w:sz w:val="24"/>
          <w:szCs w:val="18"/>
        </w:rPr>
      </w:r>
    </w:p>
    <w:p>
      <w:pPr>
        <w:pStyle w:val="75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color w:val="000000"/>
          <w:sz w:val="24"/>
          <w:szCs w:val="18"/>
        </w:rPr>
      </w:pPr>
      <w:r>
        <w:rPr>
          <w:color w:val="000000"/>
          <w:sz w:val="24"/>
          <w:szCs w:val="18"/>
        </w:rPr>
        <w:t xml:space="preserve">до рішення </w:t>
      </w:r>
      <w:r>
        <w:rPr>
          <w:color w:val="000000"/>
          <w:sz w:val="24"/>
          <w:szCs w:val="18"/>
          <w:lang w:val="uk-UA"/>
        </w:rPr>
        <w:t xml:space="preserve">72</w:t>
      </w:r>
      <w:r>
        <w:rPr>
          <w:color w:val="000000"/>
          <w:sz w:val="24"/>
          <w:szCs w:val="18"/>
        </w:rPr>
        <w:t xml:space="preserve"> сесії Менської міської ради 8 скликання</w:t>
      </w:r>
      <w:r>
        <w:rPr>
          <w:color w:val="000000"/>
          <w:sz w:val="24"/>
          <w:szCs w:val="18"/>
        </w:rPr>
      </w:r>
      <w:r>
        <w:rPr>
          <w:color w:val="000000"/>
          <w:sz w:val="24"/>
          <w:szCs w:val="18"/>
        </w:rPr>
      </w:r>
    </w:p>
    <w:p>
      <w:pPr>
        <w:pStyle w:val="75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left="5528"/>
        <w:jc w:val="both"/>
        <w:rPr>
          <w:color w:val="000000"/>
          <w:sz w:val="24"/>
          <w:szCs w:val="18"/>
          <w:lang w:val="uk-UA"/>
        </w:rPr>
      </w:pPr>
      <w:r>
        <w:rPr>
          <w:color w:val="000000"/>
          <w:sz w:val="24"/>
          <w:szCs w:val="18"/>
          <w:lang w:val="uk-UA"/>
        </w:rPr>
        <w:t xml:space="preserve">17</w:t>
      </w:r>
      <w:r>
        <w:rPr>
          <w:color w:val="000000"/>
          <w:sz w:val="24"/>
          <w:szCs w:val="18"/>
          <w:lang w:val="uk-UA"/>
        </w:rPr>
        <w:t xml:space="preserve"> </w:t>
      </w:r>
      <w:r>
        <w:rPr>
          <w:color w:val="000000"/>
          <w:sz w:val="24"/>
          <w:szCs w:val="18"/>
          <w:lang w:val="uk-UA"/>
        </w:rPr>
        <w:t xml:space="preserve">квітня</w:t>
      </w:r>
      <w:r>
        <w:rPr>
          <w:color w:val="000000"/>
          <w:sz w:val="24"/>
          <w:szCs w:val="18"/>
        </w:rPr>
        <w:t xml:space="preserve"> 202</w:t>
      </w:r>
      <w:r>
        <w:rPr>
          <w:color w:val="000000"/>
          <w:sz w:val="24"/>
          <w:szCs w:val="18"/>
          <w:lang w:val="uk-UA"/>
        </w:rPr>
        <w:t xml:space="preserve">6</w:t>
      </w:r>
      <w:r>
        <w:rPr>
          <w:color w:val="000000"/>
          <w:sz w:val="24"/>
          <w:szCs w:val="18"/>
        </w:rPr>
        <w:t xml:space="preserve"> року №</w:t>
      </w:r>
      <w:r>
        <w:rPr>
          <w:color w:val="000000"/>
          <w:sz w:val="24"/>
          <w:szCs w:val="18"/>
          <w:lang w:val="uk-UA"/>
        </w:rPr>
      </w:r>
      <w:r>
        <w:rPr>
          <w:color w:val="000000"/>
          <w:sz w:val="24"/>
          <w:szCs w:val="18"/>
          <w:lang w:val="uk-UA"/>
        </w:rPr>
        <w:t xml:space="preserve">201</w:t>
      </w:r>
      <w:r>
        <w:rPr>
          <w:color w:val="000000"/>
          <w:sz w:val="24"/>
          <w:szCs w:val="18"/>
          <w:lang w:val="uk-UA"/>
        </w:rPr>
      </w:r>
    </w:p>
    <w:p>
      <w:pPr>
        <w:pStyle w:val="750"/>
        <w:pBdr/>
        <w:spacing/>
        <w:ind w:left="5812"/>
        <w:jc w:val="both"/>
        <w:rPr>
          <w:b/>
          <w:bCs/>
          <w:color w:val="000000"/>
          <w:szCs w:val="32"/>
        </w:rPr>
      </w:pPr>
      <w:r>
        <w:rPr>
          <w:b/>
          <w:bCs/>
          <w:color w:val="000000"/>
          <w:szCs w:val="32"/>
        </w:rPr>
      </w:r>
      <w:r>
        <w:rPr>
          <w:b/>
          <w:bCs/>
          <w:color w:val="000000"/>
          <w:szCs w:val="32"/>
        </w:rPr>
      </w:r>
    </w:p>
    <w:p>
      <w:pPr>
        <w:pStyle w:val="755"/>
        <w:pBdr/>
        <w:spacing w:after="0" w:before="0"/>
        <w:ind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ru-RU"/>
        </w:rPr>
      </w:r>
      <w:r>
        <w:rPr>
          <w:b/>
          <w:bCs/>
          <w:color w:val="000000"/>
          <w:sz w:val="32"/>
          <w:szCs w:val="32"/>
          <w:lang w:val="ru-RU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55"/>
        <w:pBdr/>
        <w:spacing w:after="0" w:before="0"/>
        <w:ind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uk-UA" w:eastAsia="ar-SA"/>
        </w:rPr>
        <w:t xml:space="preserve">ПРОГРАМА</w:t>
      </w:r>
      <w:r>
        <w:rPr>
          <w:b/>
          <w:bCs/>
          <w:color w:val="000000"/>
          <w:sz w:val="32"/>
          <w:szCs w:val="32"/>
          <w:lang w:val="ru-RU"/>
        </w:rPr>
      </w:r>
      <w:r>
        <w:rPr>
          <w:b/>
          <w:bCs/>
          <w:color w:val="000000"/>
          <w:sz w:val="32"/>
          <w:szCs w:val="32"/>
          <w:lang w:val="ru-RU"/>
        </w:rPr>
      </w:r>
    </w:p>
    <w:p>
      <w:pPr>
        <w:pStyle w:val="755"/>
        <w:pBdr/>
        <w:spacing w:after="0" w:before="0"/>
        <w:ind/>
        <w:jc w:val="center"/>
        <w:rPr>
          <w:b/>
          <w:bCs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uk-UA" w:eastAsia="ar-SA"/>
        </w:rPr>
        <w:t xml:space="preserve"> «Забезпечення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</w:t>
      </w:r>
      <w:r>
        <w:rPr>
          <w:b/>
          <w:bCs/>
          <w:color w:val="000000"/>
          <w:sz w:val="32"/>
          <w:szCs w:val="32"/>
          <w:lang w:val="ru-RU"/>
        </w:rPr>
      </w:r>
      <w:r>
        <w:rPr>
          <w:b/>
          <w:bCs/>
          <w:color w:val="000000"/>
          <w:sz w:val="32"/>
          <w:szCs w:val="32"/>
          <w:lang w:val="ru-RU"/>
        </w:rPr>
      </w:r>
    </w:p>
    <w:p>
      <w:pPr>
        <w:pStyle w:val="755"/>
        <w:pBdr/>
        <w:spacing w:after="0" w:before="0"/>
        <w:ind/>
        <w:jc w:val="center"/>
        <w:rPr>
          <w:b/>
          <w:color w:val="000000"/>
          <w:sz w:val="32"/>
          <w:szCs w:val="32"/>
          <w:lang w:val="ru-RU"/>
        </w:rPr>
      </w:pPr>
      <w:r>
        <w:rPr>
          <w:b/>
          <w:bCs/>
          <w:color w:val="000000"/>
          <w:sz w:val="32"/>
          <w:szCs w:val="32"/>
          <w:lang w:val="uk-UA" w:eastAsia="ar-SA"/>
        </w:rPr>
        <w:t xml:space="preserve">на 2025-2027 роки»</w:t>
      </w:r>
      <w:r>
        <w:rPr>
          <w:b/>
          <w:color w:val="000000"/>
          <w:sz w:val="32"/>
          <w:szCs w:val="32"/>
          <w:lang w:val="ru-RU"/>
        </w:rPr>
      </w:r>
      <w:r>
        <w:rPr>
          <w:b/>
          <w:color w:val="000000"/>
          <w:sz w:val="32"/>
          <w:szCs w:val="32"/>
          <w:lang w:val="ru-RU"/>
        </w:rPr>
      </w:r>
    </w:p>
    <w:p>
      <w:pPr>
        <w:pStyle w:val="968"/>
        <w:pBdr/>
        <w:spacing w:after="0"/>
        <w:ind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jc w:val="center"/>
        <w:rPr>
          <w:color w:val="000000"/>
        </w:rPr>
      </w:pPr>
      <w:r>
        <w:rPr>
          <w:color w:val="000000"/>
          <w:lang w:val="uk-UA" w:eastAsia="ar-SA"/>
        </w:rPr>
        <w:t xml:space="preserve">(нова редакція)</w:t>
      </w: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jc w:val="center"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968"/>
        <w:pBdr/>
        <w:spacing w:after="0"/>
        <w:ind/>
        <w:rPr>
          <w:b/>
          <w:bCs/>
          <w:color w:val="000000"/>
        </w:rPr>
      </w:pPr>
      <w:r>
        <w:rPr>
          <w:b/>
          <w:bCs/>
          <w:color w:val="000000"/>
        </w:rPr>
      </w:r>
      <w:r>
        <w:rPr>
          <w:b/>
          <w:bCs/>
          <w:color w:val="000000"/>
        </w:rPr>
      </w:r>
    </w:p>
    <w:p>
      <w:pPr>
        <w:pStyle w:val="750"/>
        <w:pBdr/>
        <w:spacing/>
        <w:ind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750"/>
        <w:pBdr/>
        <w:spacing/>
        <w:ind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750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ru-RU"/>
        </w:rPr>
        <w:t xml:space="preserve">м. Мена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ru-RU"/>
        </w:rPr>
        <w:t xml:space="preserve">2026 рік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hd w:val="nil" w:color="auto"/>
        <w:spacing/>
        <w:ind/>
        <w:jc w:val="center"/>
        <w:outlineLvl w:val="3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  <w:lang w:val="uk-UA" w:eastAsia="ru-RU"/>
        </w:rPr>
        <w:br w:type="page" w:clear="all"/>
      </w:r>
      <w:r>
        <w:rPr>
          <w:bCs/>
          <w:color w:val="000000"/>
          <w:sz w:val="28"/>
          <w:szCs w:val="28"/>
          <w:lang w:val="uk-UA" w:eastAsia="ru-RU"/>
        </w:rPr>
        <w:t xml:space="preserve">ЗМІСТ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 w:right="27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ru-RU"/>
        </w:rPr>
        <w:t xml:space="preserve">Паспорт Програми                                                                                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Визначення проблеми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Мета Програми</w:t>
      </w:r>
      <w:r>
        <w:rPr>
          <w:color w:val="000000"/>
          <w:sz w:val="28"/>
          <w:szCs w:val="28"/>
          <w:lang w:val="uk-UA" w:eastAsia="ru-RU"/>
        </w:rPr>
        <w:t xml:space="preserve">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Напрямки та заходи виконання Програми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rStyle w:val="1001"/>
          <w:rFonts w:eastAsia="Calibri"/>
          <w:b w:val="0"/>
          <w:bCs w:val="0"/>
          <w:sz w:val="28"/>
          <w:szCs w:val="28"/>
        </w:rPr>
        <w:t xml:space="preserve">Фінансове забезпечення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numPr>
          <w:ilvl w:val="0"/>
          <w:numId w:val="15"/>
        </w:numPr>
        <w:pBdr/>
        <w:spacing/>
        <w:ind/>
        <w:rPr>
          <w:color w:val="000000"/>
          <w:sz w:val="28"/>
          <w:szCs w:val="28"/>
        </w:rPr>
      </w:pPr>
      <w:r>
        <w:rPr>
          <w:rStyle w:val="1001"/>
          <w:rFonts w:eastAsia="Calibri"/>
          <w:b w:val="0"/>
          <w:bCs w:val="0"/>
          <w:sz w:val="28"/>
          <w:szCs w:val="28"/>
        </w:rPr>
        <w:t xml:space="preserve">Очікувані результати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ageBreakBefore w:val="true"/>
        <w:pBdr/>
        <w:tabs>
          <w:tab w:val="left" w:leader="none" w:pos="720"/>
          <w:tab w:val="left" w:leader="none" w:pos="6686"/>
        </w:tabs>
        <w:spacing/>
        <w:ind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 w:eastAsia="ar-SA"/>
        </w:rPr>
        <w:t xml:space="preserve">1.ПАСПОРТ ПРОГРАМИ 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pStyle w:val="750"/>
        <w:pBdr/>
        <w:shd w:val="nil" w:color="auto"/>
        <w:spacing/>
        <w:ind/>
        <w:jc w:val="center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 w:eastAsia="ar-SA"/>
        </w:rPr>
        <w:t xml:space="preserve">«Забезпечення питного водопостачання та заходів з реалізації очищення стічних вод на території населених пунктів Менської міської територіальної громади на 2025-2027 роки»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tbl>
      <w:tblPr>
        <w:tblInd w:w="0" w:type="dxa"/>
        <w:tblW w:w="4916" w:type="pct"/>
        <w:tblCellMar>
          <w:left w:w="0" w:type="dxa"/>
          <w:top w:w="0" w:type="dxa"/>
          <w:right w:w="0" w:type="dxa"/>
          <w:bottom w:w="0" w:type="dxa"/>
        </w:tblCellMar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999999" w:sz="4" w:space="0"/>
          <w:insideV w:val="single" w:color="999999" w:sz="4" w:space="0"/>
        </w:tblBorders>
        <w:tblLayout w:type="fixed"/>
        <w:tblLook w:val="04A0" w:firstRow="1" w:lastRow="0" w:firstColumn="1" w:lastColumn="0" w:noHBand="0" w:noVBand="1"/>
      </w:tblPr>
      <w:tblGrid>
        <w:gridCol w:w="743"/>
        <w:gridCol w:w="4318"/>
        <w:gridCol w:w="4454"/>
      </w:tblGrid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Ініціатор розроблення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Менська міська рада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Розробник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Менської міської ради, КП «Менакомунпослуга»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276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Співрозробник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 Менська міська рада,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підприємства, що надають послуги з водопостачання та водовідведення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Відповідальний виконавець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none" w:color="auto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 Менська міська рада,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Відділ житлово-комунального господарства та комунального майна Менської міської ради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, підприємства, що надають послуги з водопостачання та водовідведення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315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Термін реалізації Програми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2025-2027 роки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Перелік джерел фінансування, які беруть участь у виконанні Програми 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ru-RU"/>
              </w:rPr>
              <w:t xml:space="preserve">Бюджет Менської міської територіальної громади, Державний бюджет та інші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cantSplit/>
          <w:trHeight w:val="322"/>
        </w:trPr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743" w:type="dxa"/>
            <w:vAlign w:val="top"/>
            <w:textDirection w:val="lrTb"/>
            <w:noWrap/>
          </w:tcPr>
          <w:p>
            <w:pPr>
              <w:pStyle w:val="750"/>
              <w:numPr>
                <w:ilvl w:val="0"/>
                <w:numId w:val="14"/>
              </w:numPr>
              <w:pBdr/>
              <w:spacing/>
              <w: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318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uk-UA" w:eastAsia="ar-SA"/>
              </w:rPr>
              <w:t xml:space="preserve">Загальний обсяг фінансових ресурсів, необхідних для реалізації програми всього</w:t>
            </w:r>
            <w:r>
              <w:rPr>
                <w:color w:val="000000"/>
                <w:sz w:val="28"/>
                <w:szCs w:val="28"/>
              </w:rPr>
            </w: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left w:w="20" w:type="dxa"/>
              <w:top w:w="20" w:type="dxa"/>
              <w:right w:w="20" w:type="dxa"/>
              <w:bottom w:w="0" w:type="dxa"/>
            </w:tcMar>
            <w:tcW w:w="4454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bCs/>
                <w:color w:val="000000"/>
                <w:sz w:val="28"/>
                <w:szCs w:val="28"/>
                <w:lang w:val="uk-UA" w:eastAsia="ar-SA"/>
              </w:rPr>
              <w:t xml:space="preserve">Разом</w:t>
            </w:r>
            <w:r>
              <w:rPr>
                <w:bCs/>
                <w:sz w:val="28"/>
                <w:szCs w:val="28"/>
                <w:highlight w:val="white"/>
                <w:lang w:val="uk-UA" w:eastAsia="ar-SA"/>
              </w:rPr>
              <w:t xml:space="preserve">:  57 </w:t>
            </w:r>
            <w:r>
              <w:rPr>
                <w:bCs/>
                <w:sz w:val="28"/>
                <w:szCs w:val="28"/>
                <w:highlight w:val="white"/>
                <w:lang w:val="uk-UA" w:eastAsia="ar-SA"/>
              </w:rPr>
              <w:t xml:space="preserve">55</w:t>
            </w:r>
            <w:r>
              <w:rPr>
                <w:bCs/>
                <w:sz w:val="28"/>
                <w:szCs w:val="28"/>
                <w:highlight w:val="white"/>
                <w:lang w:val="uk-UA" w:eastAsia="ar-SA"/>
              </w:rPr>
              <w:t xml:space="preserve">5 113 </w:t>
            </w:r>
            <w:r>
              <w:rPr>
                <w:sz w:val="28"/>
                <w:szCs w:val="28"/>
                <w:highlight w:val="white"/>
                <w:lang w:val="uk-UA" w:eastAsia="ar-SA"/>
              </w:rPr>
              <w:t xml:space="preserve">грн.</w:t>
            </w:r>
            <w:r>
              <w:rPr>
                <w:color w:val="000000"/>
                <w:sz w:val="28"/>
                <w:szCs w:val="28"/>
                <w:highlight w:val="white"/>
              </w:rPr>
            </w:r>
            <w:r>
              <w:rPr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 w:eastAsia="ar-SA"/>
              </w:rPr>
              <w:t xml:space="preserve">2025 рік – 2 692 869 грн.</w:t>
            </w:r>
            <w:r>
              <w:rPr>
                <w:color w:val="000000"/>
                <w:sz w:val="28"/>
                <w:szCs w:val="28"/>
                <w:highlight w:val="white"/>
              </w:rPr>
            </w:r>
            <w:r>
              <w:rPr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 w:eastAsia="ar-SA"/>
              </w:rPr>
              <w:t xml:space="preserve">2026 рік </w:t>
            </w:r>
            <w:r>
              <w:rPr>
                <w:sz w:val="28"/>
                <w:szCs w:val="28"/>
                <w:highlight w:val="white"/>
                <w:lang w:val="uk-UA" w:eastAsia="ar-SA"/>
              </w:rPr>
              <w:t xml:space="preserve">–  48 </w:t>
            </w:r>
            <w:r>
              <w:rPr>
                <w:sz w:val="28"/>
                <w:szCs w:val="28"/>
                <w:highlight w:val="white"/>
                <w:lang w:val="uk-UA" w:eastAsia="ar-SA"/>
              </w:rPr>
              <w:t xml:space="preserve">14</w:t>
            </w:r>
            <w:r>
              <w:rPr>
                <w:sz w:val="28"/>
                <w:szCs w:val="28"/>
                <w:highlight w:val="white"/>
                <w:lang w:val="uk-UA" w:eastAsia="ar-SA"/>
              </w:rPr>
              <w:t xml:space="preserve">8 244 грн.</w:t>
            </w:r>
            <w:r>
              <w:rPr>
                <w:color w:val="000000"/>
                <w:sz w:val="28"/>
                <w:szCs w:val="28"/>
                <w:highlight w:val="white"/>
              </w:rPr>
            </w:r>
            <w:r>
              <w:rPr>
                <w:color w:val="000000"/>
                <w:sz w:val="28"/>
                <w:szCs w:val="28"/>
                <w:highlight w:val="white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8"/>
                <w:szCs w:val="28"/>
                <w:highlight w:val="white"/>
              </w:rPr>
            </w:pPr>
            <w:r>
              <w:rPr>
                <w:color w:val="000000"/>
                <w:sz w:val="28"/>
                <w:szCs w:val="28"/>
                <w:highlight w:val="white"/>
                <w:lang w:val="uk-UA" w:eastAsia="ar-SA"/>
              </w:rPr>
              <w:t xml:space="preserve">2027 рік – 6 714 000 грн.</w:t>
            </w:r>
            <w:r>
              <w:rPr>
                <w:color w:val="000000"/>
                <w:sz w:val="28"/>
                <w:szCs w:val="28"/>
                <w:highlight w:val="white"/>
              </w:rPr>
            </w:r>
            <w:r>
              <w:rPr>
                <w:color w:val="000000"/>
                <w:sz w:val="28"/>
                <w:szCs w:val="28"/>
                <w:highlight w:val="white"/>
              </w:rPr>
            </w:r>
          </w:p>
        </w:tc>
      </w:tr>
    </w:tbl>
    <w:p>
      <w:pPr>
        <w:pStyle w:val="750"/>
        <w:pBdr/>
        <w:tabs>
          <w:tab w:val="left" w:leader="none" w:pos="0"/>
        </w:tabs>
        <w:spacing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750"/>
        <w:pBdr/>
        <w:shd w:val="nil" w:color="auto"/>
        <w:spacing/>
        <w:ind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 w:eastAsia="ar-SA"/>
        </w:rPr>
        <w:br w:type="page" w:clear="all"/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pStyle w:val="803"/>
        <w:pBdr/>
        <w:spacing w:after="0" w:before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2. ВИЗНАЧЕННЯ ПРОБЛЕМИ</w:t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750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Забезпечення населення Менської міської т</w:t>
      </w:r>
      <w:r>
        <w:rPr>
          <w:color w:val="000000"/>
          <w:sz w:val="28"/>
          <w:szCs w:val="28"/>
          <w:lang w:val="uk-UA"/>
        </w:rPr>
        <w:t xml:space="preserve">ериторіальної громади  питною водою є однією з пріоритетних проблем, розв'язання якої необхідне для збереження здоров'я, поліпшення умов діяльності і підвищення рівня життя населення, сприяння створенню належних умов для розвитку  дітей на місцевому рівні.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Враховуючи значне зношення інженерних мереж, виникають аварії на об’єктах питного водопостачання та водовідведення., що в свою чергу значно впливає на надання даних послуг населенню та на якість даних послуг.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Водозабірні свердловини в населених пунктах менської територіальної громади експлуатуються досить давно та потребують покращення якості води.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62"/>
        <w:pBdr/>
        <w:spacing/>
        <w:ind w:right="0"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Загальна протяжність водопровідної мережі в населених пунктах громади становить 79,482 км., каналізаційної - 17,87 км. ТОВ «Менський комунальник» обслуговує водогін загальною пр</w:t>
      </w:r>
      <w:r>
        <w:rPr>
          <w:color w:val="000000"/>
          <w:lang w:val="uk-UA"/>
        </w:rPr>
        <w:t xml:space="preserve">отяжністю 40,982 км. та каналізаційну мережу - 10,870 км, що знаходиться у комунальній власності громади. Але фактично по місту протяжність водогону є більшою і нагальним є питанням взяття його на баланс, оскільки неможливо здійснювати його обслуговування.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right="0"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По населеним пунктам громади обслуговує водогін КП «Менакомунпослуга» загальною протяжність водопровідної мережі 38,5 км, каналізаційної мережі – 7 км.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right="0"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Централізоване водопостачання наявне ще в 8 населених пунктах громади, а саме в селах Семенівка (0,5 км), Блистова (2 км), Величківк</w:t>
      </w:r>
      <w:r>
        <w:rPr>
          <w:color w:val="000000"/>
          <w:lang w:val="uk-UA"/>
        </w:rPr>
        <w:t xml:space="preserve">а (21,5 км), Бірківка (0,6 км), Ліски (1,5 км), Слобідка (2,2 км), Стольне (3,4 км) та селищі міського типу Макошине (6,8 км). Водовідведення смт. Макошине 7 км. Деякі мережі перебувають в незадовільному стані, а саме в селах Величківка, Ліски та Бірківка.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right="0" w:firstLine="567"/>
        <w:rPr>
          <w:color w:val="000000"/>
          <w:lang w:val="uk-UA"/>
        </w:rPr>
      </w:pPr>
      <w:r>
        <w:rPr>
          <w:color w:val="000000"/>
          <w:lang w:val="uk-UA"/>
        </w:rPr>
        <w:t xml:space="preserve">На даний час в місті Мена відсутні робочі очисні спо</w:t>
      </w:r>
      <w:r>
        <w:rPr>
          <w:color w:val="000000"/>
          <w:lang w:val="uk-UA"/>
        </w:rPr>
        <w:t xml:space="preserve">руди, і місто користується очисними спорудами ПП КФ «Прометей» філії «Менський сир». Дуже важливим є відновлення роботи міських очисних споруд, для забезпечення екологічної безпеки, надання якісних послуг, та покращення інвестиційної привабливості громади.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762"/>
        <w:pBdr/>
        <w:spacing/>
        <w:ind w:right="0" w:firstLine="567"/>
        <w:rPr>
          <w:color w:val="000000"/>
          <w:lang w:val="uk-UA"/>
        </w:rPr>
      </w:pPr>
      <w:r>
        <w:rPr>
          <w:color w:val="000000"/>
          <w:lang w:val="uk-UA"/>
        </w:rPr>
        <w:t xml:space="preserve">Програма «Забезпечення питного водопостачання та заходів з реалізації очищення стічних в</w:t>
      </w:r>
      <w:r>
        <w:rPr>
          <w:color w:val="000000"/>
          <w:lang w:val="uk-UA"/>
        </w:rPr>
        <w:t xml:space="preserve">од на території населених пунктів Менської міської територіальної громади на 2025-2027 роки» спрямована на реалізацію державної політики щодо забезпечення населення якісною питною водою відповідно до Закону України «Про питну воду та питне водопостачання».</w:t>
      </w:r>
      <w:r>
        <w:rPr>
          <w:color w:val="000000"/>
          <w:lang w:val="uk-UA"/>
        </w:rPr>
      </w:r>
      <w:r>
        <w:rPr>
          <w:color w:val="000000"/>
          <w:lang w:val="uk-UA"/>
        </w:rPr>
      </w:r>
    </w:p>
    <w:p>
      <w:pPr>
        <w:pStyle w:val="758"/>
        <w:widowControl w:val="false"/>
        <w:pBdr/>
        <w:tabs>
          <w:tab w:val="clear" w:leader="none" w:pos="720"/>
          <w:tab w:val="left" w:leader="none" w:pos="993"/>
        </w:tabs>
        <w:spacing/>
        <w:ind w:right="0" w:firstLine="567" w:left="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  <w:r>
        <w:rPr>
          <w:sz w:val="20"/>
          <w:szCs w:val="20"/>
          <w:lang w:val="uk-UA"/>
        </w:rPr>
      </w:r>
    </w:p>
    <w:p>
      <w:pPr>
        <w:pStyle w:val="803"/>
        <w:pBdr/>
        <w:spacing w:after="0" w:before="0"/>
        <w:ind/>
        <w:jc w:val="center"/>
        <w:rPr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3. МЕТА ТА ЗАВДАННЯ ПРОГРАМИ</w:t>
      </w:r>
      <w:r>
        <w:rPr>
          <w:b/>
          <w:color w:val="000000"/>
          <w:sz w:val="28"/>
          <w:szCs w:val="28"/>
          <w:lang w:val="uk-UA"/>
        </w:rPr>
      </w:r>
      <w:r>
        <w:rPr>
          <w:b/>
          <w:color w:val="000000"/>
          <w:sz w:val="28"/>
          <w:szCs w:val="28"/>
          <w:lang w:val="uk-UA"/>
        </w:rPr>
      </w:r>
    </w:p>
    <w:p>
      <w:pPr>
        <w:pStyle w:val="968"/>
        <w:pBdr/>
        <w:spacing w:after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 w:eastAsia="ar-SA"/>
        </w:rPr>
        <w:t xml:space="preserve">Метою програми є поліпшення забезпечення населення питною водою нормативної якості в межах науково обґрунтованих нормативів питного водоспоживання, відновлення, охорона та раціональне використа</w:t>
      </w:r>
      <w:r>
        <w:rPr>
          <w:color w:val="000000"/>
          <w:sz w:val="28"/>
          <w:szCs w:val="28"/>
          <w:lang w:val="uk-UA" w:eastAsia="ar-SA"/>
        </w:rPr>
        <w:t xml:space="preserve">ння джерел питного водопостачання, розвиток мережі централізованого забезпечення споживачів питною водою, підвищення ефективності та надійності її функціонування, забезпечення конституційних прав громадян на достатній життєвий рівень та екологічну безпеку.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8"/>
        <w:pBdr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Основними завданням є: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jc w:val="both"/>
        <w:rPr>
          <w:color w:val="000000"/>
        </w:rPr>
      </w:pPr>
      <w:r>
        <w:rPr>
          <w:color w:val="000000"/>
          <w:sz w:val="28"/>
          <w:szCs w:val="28"/>
          <w:lang w:val="uk-UA" w:eastAsia="ar-SA"/>
        </w:rPr>
        <w:t xml:space="preserve">- забезпечення населення якісною питною водою.</w:t>
      </w:r>
      <w:r>
        <w:rPr>
          <w:color w:val="000000"/>
        </w:rPr>
      </w:r>
      <w:r>
        <w:rPr>
          <w:color w:val="000000"/>
        </w:rPr>
      </w:r>
    </w:p>
    <w:p>
      <w:pPr>
        <w:pStyle w:val="762"/>
        <w:pBdr/>
        <w:spacing/>
        <w:ind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 взяття на баланс водопровідних та каналізаційних мереж збудованих кооперативами та, ті власники яких не визначені;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</w:t>
        <w:tab/>
        <w:t xml:space="preserve">охорона і раціональне використання джерел питного водопостачання;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</w:t>
        <w:tab/>
        <w:t xml:space="preserve">розвиток та реконструкція систем водопостачання та водовідведення;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</w:t>
        <w:tab/>
        <w:t xml:space="preserve">покращення стану інженерних мереж, споруд та систем водопостачання, зон санітарної охорони джерел водопостачання;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</w:t>
        <w:tab/>
        <w:t xml:space="preserve">створення сприятливих умов для залучення інвестиційних ресурсів з метою технічного переоснащення систем питного водопостачання та водовідведення;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762"/>
        <w:pBdr/>
        <w:spacing/>
        <w:ind w:right="0" w:firstLine="567"/>
        <w:rPr>
          <w:color w:val="000000"/>
          <w:lang w:val="ru-RU"/>
        </w:rPr>
      </w:pPr>
      <w:r>
        <w:rPr>
          <w:color w:val="000000"/>
          <w:lang w:val="uk-UA"/>
        </w:rPr>
        <w:t xml:space="preserve">-</w:t>
        <w:tab/>
        <w:t xml:space="preserve">розширення мережі водопостачання та водовідведення Менської ТГ шляхом будівництва нових ділянок водопроводів та каналізаційних колекторів.</w:t>
      </w:r>
      <w:r>
        <w:rPr>
          <w:color w:val="000000"/>
          <w:lang w:val="ru-RU"/>
        </w:rPr>
      </w:r>
      <w:r>
        <w:rPr>
          <w:color w:val="000000"/>
          <w:lang w:val="ru-RU"/>
        </w:rPr>
      </w:r>
    </w:p>
    <w:p>
      <w:pPr>
        <w:pStyle w:val="968"/>
        <w:pBdr/>
        <w:spacing w:after="0"/>
        <w:ind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968"/>
        <w:pBdr/>
        <w:spacing w:after="0"/>
        <w:ind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 w:eastAsia="ar-SA"/>
        </w:rPr>
        <w:t xml:space="preserve">4. НАПРЯМИ ТА ЗАХОДИ ВИКОНАННЯ ПРОГРАМИ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68"/>
        <w:pBdr/>
        <w:spacing w:after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Необхідно розробити ряд проектів, реалізація яких дасть змогу значно поліпшити ситуацію з водопостачанням в населених пунктах громади, а саме: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- роботи з реконструкції системи водопостачання міста Мена шляхом будівництва нових артезіанських свердловин;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- замовлення проектно-кошторисної документації для здійснення реконструкції систем водовідведення;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-</w:t>
        <w:tab/>
        <w:t xml:space="preserve">завершити реконструкцію КНС №1 в м. Мена;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-</w:t>
        <w:tab/>
        <w:t xml:space="preserve">відновлення роботи міських очисних споруд;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- закінчити реалізацію проекту «Реконструкція системи водопостачаня з облаштуванням покриття дорожньої мережі по вул. Приозерна, Андрейченка Максима, Калинова в м. Мена Чернігівської області (з виділенням черговості)».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-</w:t>
      </w:r>
      <w:r>
        <w:rPr>
          <w:color w:val="000000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покращити якість </w:t>
      </w:r>
      <w:r>
        <w:rPr>
          <w:color w:val="000000"/>
          <w:sz w:val="28"/>
          <w:szCs w:val="28"/>
          <w:lang w:val="uk-UA"/>
        </w:rPr>
        <w:t xml:space="preserve">води, шляхом змішування з водою, що подається з бучацького горизонту для досягнення показників якості води згідно вимогам ГОСТ 2874-82, по вул. Чернігівський шлях пробурено свердловину №9 на сеноман-нижньокрейдовий горизонт, глибиною 560 м., дебітом 37 м3.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Удосконалення водозаборів джерел питного водопостачання та технологій підготовки питної води передбачає: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7"/>
        </w:numPr>
        <w:pBdr/>
        <w:spacing w:after="0"/>
        <w:ind w:firstLine="567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проведення інвентаризації водозаборів підземних вод сільських населених пунктів з визначенням техніко-економічних, санітарно-епідеміологічних та екологічних критеріїв водозаборів;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7"/>
        </w:numPr>
        <w:pBdr/>
        <w:spacing w:after="0"/>
        <w:ind w:firstLine="567" w:left="0"/>
        <w:jc w:val="both"/>
        <w:rPr>
          <w:color w:val="000000"/>
        </w:rPr>
      </w:pPr>
      <w:r>
        <w:rPr>
          <w:color w:val="000000"/>
          <w:sz w:val="28"/>
          <w:szCs w:val="28"/>
          <w:lang w:val="uk-UA" w:eastAsia="ar-SA"/>
        </w:rPr>
        <w:t xml:space="preserve">здійснення робіт із вдосконалення конструкцій водозабірних свердловин, фільтрів, підйомного обладнання, контрольно-вимірювальної апаратури.</w:t>
      </w:r>
      <w:r>
        <w:rPr>
          <w:color w:val="000000"/>
        </w:rPr>
      </w:r>
      <w:r>
        <w:rPr>
          <w:color w:val="000000"/>
        </w:rPr>
      </w:r>
    </w:p>
    <w:p>
      <w:pPr>
        <w:pStyle w:val="968"/>
        <w:pBdr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Розвиток і реконструкція систем питного водопостачання передбачає: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7"/>
        </w:numPr>
        <w:pBdr/>
        <w:spacing w:after="0"/>
        <w:ind w:firstLine="567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проведення інвентаризації інженерних мереж водопостачання на території населених пунктів громади;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7"/>
        </w:numPr>
        <w:pBdr/>
        <w:spacing w:after="0"/>
        <w:ind w:firstLine="567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будівництво та реконструкцію водопровідних споруд;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7"/>
        </w:numPr>
        <w:pBdr/>
        <w:spacing w:after="0"/>
        <w:ind w:firstLine="567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запобігання аваріям на об’єктах питного водопостачання та водовідведення.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hd w:val="nil" w:color="auto"/>
        <w:spacing/>
        <w:ind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Виконання Програми здійснюється за такими основними заходами: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tbl>
      <w:tblPr>
        <w:tblInd w:w="648" w:type="dxa"/>
        <w:tblW w:w="9334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3510"/>
        <w:gridCol w:w="1055"/>
        <w:gridCol w:w="2299"/>
        <w:gridCol w:w="1890"/>
      </w:tblGrid>
      <w:tr>
        <w:trPr>
          <w:trHeight w:val="532"/>
          <w:tblHeader/>
        </w:trPr>
        <w:tc>
          <w:tcPr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lang w:val="uk-UA"/>
              </w:rPr>
              <w:t xml:space="preserve">№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lang w:val="uk-UA"/>
              </w:rPr>
              <w:t xml:space="preserve">Зміст заходу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lang w:val="uk-UA"/>
              </w:rPr>
              <w:t xml:space="preserve">Термін виконання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lang w:val="uk-UA"/>
              </w:rPr>
              <w:t xml:space="preserve">Відповідальні виконавці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8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lang w:val="uk-UA"/>
              </w:rPr>
              <w:t xml:space="preserve">Обсяг фінансування, тис. грн.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Перевірка технічного стану діючих об'єктів водопровідно-каналізаційного господарства;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проведення технічного та енергетичного аудиту систем водопостачання та водовідведення;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проведення незалежної оцінки вартості майна мереж водопостачання та водовідведення.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 </w:t>
            </w:r>
            <w:r>
              <w:rPr>
                <w:b/>
                <w:color w:val="000000"/>
                <w:sz w:val="22"/>
                <w:lang w:val="uk-UA"/>
              </w:rPr>
              <w:t xml:space="preserve">600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р.- 150,0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р.- 200,0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р.- 250,0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Купівля глибинних насосів на артезіанських свердловинах та КНС (за потребою), встановлення засобів комерційного обліку (4 шт);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проведення аварійно-відновлювальних робіт;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гідродинамічна прочистка каналізації;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Купівля електродвигуна на КНС та очисних спорудах; купівля та заміна частотного перетворювача;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1700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</w:t>
            </w:r>
            <w:r>
              <w:rPr>
                <w:color w:val="000000"/>
                <w:sz w:val="22"/>
                <w:lang w:val="uk-UA"/>
              </w:rPr>
              <w:t xml:space="preserve"> з  них: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р.-500,0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р.- 600,0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р.- 600,0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en-US"/>
              </w:rPr>
              <w:t xml:space="preserve">3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Створення </w:t>
            </w:r>
            <w:r>
              <w:rPr>
                <w:color w:val="000000"/>
                <w:sz w:val="24"/>
                <w:lang w:val="uk-UA"/>
              </w:rPr>
              <w:t xml:space="preserve">резервного фонду шляхом закупівлі насосів на артезіанських свердловинах та КНС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</w:rPr>
              <w:t xml:space="preserve">750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</w:t>
            </w:r>
            <w:r>
              <w:rPr>
                <w:color w:val="000000"/>
                <w:sz w:val="22"/>
                <w:lang w:val="uk-UA"/>
              </w:rPr>
              <w:t xml:space="preserve"> з  них: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</w:t>
            </w:r>
            <w:r>
              <w:rPr>
                <w:color w:val="000000"/>
                <w:sz w:val="22"/>
              </w:rPr>
              <w:t xml:space="preserve">250</w:t>
            </w:r>
            <w:r>
              <w:rPr>
                <w:color w:val="000000"/>
                <w:sz w:val="22"/>
                <w:lang w:val="uk-UA"/>
              </w:rPr>
              <w:t xml:space="preserve">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р.- </w:t>
            </w:r>
            <w:r>
              <w:rPr>
                <w:color w:val="000000"/>
                <w:sz w:val="22"/>
              </w:rPr>
              <w:t xml:space="preserve">250</w:t>
            </w:r>
            <w:r>
              <w:rPr>
                <w:color w:val="000000"/>
                <w:sz w:val="22"/>
                <w:lang w:val="uk-UA"/>
              </w:rPr>
              <w:t xml:space="preserve">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 </w:t>
            </w:r>
            <w:r>
              <w:rPr>
                <w:color w:val="000000"/>
                <w:sz w:val="22"/>
                <w:lang w:val="en-US"/>
              </w:rPr>
              <w:t xml:space="preserve">250</w:t>
            </w:r>
            <w:r>
              <w:rPr>
                <w:color w:val="000000"/>
                <w:sz w:val="22"/>
                <w:lang w:val="uk-UA"/>
              </w:rPr>
              <w:t xml:space="preserve">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color w:val="000000"/>
                <w:sz w:val="22"/>
                <w:lang w:val="uk-UA"/>
              </w:rPr>
              <w:t xml:space="preserve">4</w:t>
            </w:r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lang w:val="uk-UA"/>
              </w:rPr>
              <w:t xml:space="preserve">Встановлення огорож території артезіанських свердловин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300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р.-100,0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р.-100,0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р.-100,0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/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/>
            </w:pPr>
            <w:r>
              <w:rPr>
                <w:color w:val="000000"/>
                <w:sz w:val="22"/>
                <w:lang w:val="uk-UA"/>
              </w:rPr>
              <w:t xml:space="preserve">5</w:t>
            </w:r>
            <w:r>
              <w:rPr>
                <w:color w:val="000000"/>
                <w:sz w:val="22"/>
              </w:rPr>
            </w:r>
            <w:r/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lang w:val="uk-UA"/>
              </w:rPr>
              <w:t xml:space="preserve">Купівля, встановлення, монтаж комплектуючих для енергозберігаючого обладнання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600,0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р.-200,0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р.-200,0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2027 р.-200,0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280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6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Оформлення земельних ділянок під свердловинами та водонапірними баштами, очисними спорудами на території Менської міської територіальної громади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270</w:t>
            </w:r>
            <w:r>
              <w:rPr>
                <w:color w:val="000000"/>
                <w:sz w:val="22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lang w:val="uk-UA"/>
              </w:rPr>
              <w:t xml:space="preserve">0 </w:t>
            </w:r>
            <w:r>
              <w:rPr>
                <w:color w:val="000000"/>
                <w:sz w:val="22"/>
                <w:lang w:val="uk-UA"/>
              </w:rPr>
              <w:t xml:space="preserve">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 р.-80,0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2026 р.-90,0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р.-100,0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179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7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Відбір аналізів та дослідження якості питної води, проведення заходів з паспортизації громадських колодязів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854,000</w:t>
            </w:r>
            <w:r>
              <w:rPr>
                <w:color w:val="000000"/>
                <w:sz w:val="22"/>
                <w:lang w:val="uk-UA"/>
              </w:rPr>
              <w:t xml:space="preserve">, 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 р.-305,0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2026 р.– 305,0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р.–244,0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2162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8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Реконструкція комплексу очисних споруд м.Мена, який розташований за межами міста Мена, Менської міської територіальної громади, Корюківського району, Чернігівської області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  <w:lang w:val="uk-UA"/>
              </w:rPr>
            </w:pPr>
            <w:r>
              <w:rPr>
                <w:color w:val="000000"/>
                <w:sz w:val="24"/>
                <w:szCs w:val="22"/>
                <w:lang w:val="uk-UA"/>
              </w:rPr>
            </w:r>
            <w:r>
              <w:rPr>
                <w:color w:val="000000"/>
                <w:sz w:val="24"/>
                <w:szCs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  <w:lang w:val="uk-UA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2"/>
                <w:lang w:val="uk-UA"/>
              </w:rPr>
            </w:r>
            <w:r>
              <w:rPr>
                <w:color w:val="000000"/>
                <w:sz w:val="24"/>
                <w:szCs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  <w:lang w:val="uk-UA"/>
              </w:rPr>
            </w:pPr>
            <w:r>
              <w:rPr>
                <w:color w:val="000000"/>
                <w:sz w:val="24"/>
                <w:szCs w:val="22"/>
                <w:lang w:val="uk-UA"/>
              </w:rPr>
            </w:r>
            <w:r>
              <w:rPr>
                <w:color w:val="000000"/>
                <w:sz w:val="24"/>
                <w:szCs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Коригування проєктно- кошторисної документації з проведенням експертизи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В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сього: </w:t>
            </w: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23</w:t>
            </w: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630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,</w:t>
            </w: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0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 з них: 2025 р.-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0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р.– 23630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,0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2027 р.– 0</w:t>
            </w: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</w:r>
            <w:r>
              <w:rPr>
                <w:color w:val="000000"/>
                <w:sz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val="uk-UA"/>
              </w:rPr>
              <w:t xml:space="preserve">23500,0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  <w:r>
              <w:rPr>
                <w:color w:val="000000"/>
                <w:sz w:val="22"/>
                <w:szCs w:val="22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  <w:lang w:val="uk-UA"/>
              </w:rPr>
              <w:t xml:space="preserve">130,0</w:t>
            </w:r>
            <w:r>
              <w:rPr>
                <w:color w:val="000000"/>
                <w:highlight w:val="white"/>
                <w:lang w:val="uk-UA"/>
              </w:rPr>
            </w:r>
            <w:r>
              <w:rPr>
                <w:color w:val="000000"/>
                <w:highlight w:val="white"/>
                <w:lang w:val="uk-UA"/>
              </w:rPr>
            </w:r>
          </w:p>
        </w:tc>
      </w:tr>
      <w:tr>
        <w:trPr>
          <w:trHeight w:val="1305"/>
        </w:trPr>
        <w:tc>
          <w:tcPr>
            <w:tcBorders>
              <w:top w:val="non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 9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Проведення ліквідаційного санітарно-технічного тампонажу недіючих та безхазяйних  свердловини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non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1000,0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 р–350,0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р.–350,0 2027 р.–300,0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214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10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Технічна інвентаризація з виготовлення технічних паспортів на об’єкти водопостачання, водовідведення, очисних споруд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b/>
                <w:color w:val="000000"/>
                <w:sz w:val="22"/>
              </w:rPr>
            </w:pPr>
            <w:r>
              <w:rPr>
                <w:b/>
                <w:color w:val="000000"/>
                <w:sz w:val="22"/>
                <w:lang w:val="uk-UA"/>
              </w:rPr>
              <w:t xml:space="preserve">60,0</w:t>
            </w:r>
            <w:r>
              <w:rPr>
                <w:b/>
                <w:color w:val="000000"/>
                <w:sz w:val="22"/>
              </w:rPr>
            </w:r>
            <w:r>
              <w:rPr>
                <w:b/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 р.-15,0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2026 р.-20,0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center" w:leader="none" w:pos="766"/>
              </w:tabs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2027 р.-25,0 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cantSplit/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11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Витрати на оплату сертифіката готовності об’єкта до експлуатації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2"/>
                <w:lang w:val="uk-UA"/>
              </w:rPr>
              <w:t xml:space="preserve">52,0 </w:t>
            </w:r>
            <w:r>
              <w:rPr>
                <w:color w:val="000000"/>
                <w:sz w:val="22"/>
                <w:lang w:val="uk-UA"/>
              </w:rPr>
              <w:t xml:space="preserve">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 р.- 15,0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2026 р.-17,0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р.-20,0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12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Виконання виконавчої контрольної-геодезичної зйомки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М 1:500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2025 - 2027 роки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190,0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2025 р.-60,0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2026 р.-65,0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2027 р.-65,0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13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Реконструкція каналізаційної мережі від будинку №2 до будинку №6 по вул. Корольова в м. Мена, Чернігівської області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технічних умов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Виконання топографічної зйомки  М 1:500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2025-2027 роки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Всього:</w:t>
            </w:r>
            <w:r>
              <w:rPr>
                <w:b/>
                <w:bCs/>
                <w:color w:val="000000"/>
                <w:sz w:val="24"/>
                <w:szCs w:val="24"/>
                <w:highlight w:val="white"/>
                <w:lang w:val="uk-UA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  <w:highlight w:val="white"/>
              </w:rPr>
              <w:t xml:space="preserve">234,604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2025 рік-234,604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в тому числі: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3,265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15,0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13,96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202,379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14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Реконструкція каналізаційної мережі від будинку №6  по вул. Корольова до вулиці Героїв АТО в м. Мена, Чернігівської області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технічних умов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Виконання топографічної зйомки  М 1:500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2025-2027 роки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4"/>
                <w:szCs w:val="24"/>
                <w:highlight w:val="white"/>
                <w:lang w:val="uk-UA"/>
              </w:rPr>
              <w:t xml:space="preserve">3351,244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2025 рік-118,265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2026  рік- 3111,244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в тому числі: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3,265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30,0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85,0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3111,244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15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Реконструкція очисних споруд в селищі Макошине, Корюківського району, Чернігівської області</w:t>
            </w:r>
            <w:r>
              <w:rPr>
                <w:color w:val="000000"/>
                <w:sz w:val="24"/>
                <w:szCs w:val="22"/>
              </w:rPr>
            </w:r>
            <w:r>
              <w:rPr>
                <w:color w:val="000000"/>
                <w:sz w:val="24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lang w:val="uk-UA"/>
              </w:rPr>
              <w:t xml:space="preserve">Топографічна зйомка М 1:500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2"/>
              </w:rPr>
            </w:r>
            <w:r>
              <w:rPr>
                <w:color w:val="000000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10240,0 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з них: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</w:t>
            </w:r>
            <w:r>
              <w:rPr>
                <w:color w:val="000000"/>
                <w:sz w:val="22"/>
                <w:lang w:val="uk-UA"/>
              </w:rPr>
              <w:t xml:space="preserve">–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р.–</w:t>
            </w:r>
            <w:r>
              <w:rPr>
                <w:b/>
                <w:color w:val="000000"/>
                <w:sz w:val="22"/>
                <w:highlight w:val="white"/>
                <w:lang w:val="uk-UA"/>
              </w:rPr>
              <w:t xml:space="preserve"> 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10240,0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lang w:val="uk-UA"/>
              </w:rPr>
              <w:t xml:space="preserve">2027 р. –  0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 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lang w:val="uk-UA"/>
              </w:rPr>
              <w:t xml:space="preserve">в тому числі: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40,0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10000,0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16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Реконструкція водопровідної мережі по вул. Приозерна в м. Мена, Чернігівської області</w:t>
            </w:r>
            <w:r>
              <w:rPr>
                <w:color w:val="000000"/>
                <w:sz w:val="24"/>
                <w:szCs w:val="22"/>
              </w:rPr>
            </w:r>
            <w:r>
              <w:rPr>
                <w:color w:val="000000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600,0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 р.– 600,0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253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17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Реконструкція водопровідної мережі по вул. Троїцька в м. Мена</w:t>
            </w:r>
            <w:r>
              <w:rPr>
                <w:color w:val="000000"/>
                <w:sz w:val="24"/>
                <w:szCs w:val="22"/>
              </w:rPr>
            </w:r>
            <w:r>
              <w:rPr>
                <w:color w:val="000000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600,0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2027 р. – 600,0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18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Реконструкція водопровідної мережі по вул. Мічуріна (Левка Симиренка) в м. Мена, Чернігівської області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1000,0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2026 р.–1000,0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19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Реконструкція водопровідної мережі по вул. Армійська, провул.Сидоренка </w:t>
            </w:r>
            <w:r>
              <w:rPr>
                <w:color w:val="000000"/>
                <w:sz w:val="24"/>
                <w:szCs w:val="24"/>
              </w:rPr>
              <w:t xml:space="preserve">(Григорія Кочура)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в м. Мена, Чернігівської області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2000,0</w:t>
            </w:r>
            <w:r>
              <w:rPr>
                <w:color w:val="000000"/>
                <w:sz w:val="22"/>
                <w:lang w:val="uk-UA"/>
              </w:rPr>
              <w:t xml:space="preserve"> з них: 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2025 р.-0</w:t>
            </w: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р.– 2000,0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Реконструкція водопровідної мережі від буд. №3 по вул. Чернігівський шлях до перехрестя вул. Гетьманська в м. Мена, Чернігівської області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Виконання топографічної зйомки  М 1:500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Всього: 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 xml:space="preserve">3800,0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2026 р. 140,0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2027 р.-3660,0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40,0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100,0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3630,0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21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  <w:lang w:val="uk-UA"/>
              </w:rPr>
            </w:pPr>
            <w:r>
              <w:rPr>
                <w:color w:val="000000"/>
                <w:sz w:val="24"/>
                <w:szCs w:val="22"/>
                <w:lang w:val="uk-UA"/>
              </w:rPr>
              <w:t xml:space="preserve">Поточний ремонт зливової каналізації (5 відрізків)</w:t>
            </w:r>
            <w:r>
              <w:rPr>
                <w:color w:val="000000"/>
                <w:sz w:val="24"/>
                <w:szCs w:val="22"/>
                <w:lang w:val="uk-UA"/>
              </w:rPr>
            </w:r>
            <w:r>
              <w:rPr>
                <w:color w:val="000000"/>
                <w:sz w:val="24"/>
                <w:szCs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900,0 </w:t>
            </w:r>
            <w:r>
              <w:rPr>
                <w:color w:val="000000"/>
                <w:sz w:val="22"/>
                <w:lang w:val="uk-UA"/>
              </w:rPr>
              <w:t xml:space="preserve">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р.-300,0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р.-300,0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2027 р.-300,0 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vMerge w:val="restart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22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vMerge w:val="restart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4"/>
                <w:lang w:val="uk-UA"/>
              </w:rPr>
              <w:t xml:space="preserve">Нове б</w:t>
            </w:r>
            <w:r>
              <w:rPr>
                <w:color w:val="000000"/>
                <w:sz w:val="24"/>
              </w:rPr>
              <w:t xml:space="preserve">удівництво резервної лінії 0,4 кВ від ЗТП-393-11 до точки водозабору по вул. Чернігівський шлях в м</w:t>
            </w:r>
            <w:r>
              <w:rPr>
                <w:color w:val="000000"/>
                <w:sz w:val="24"/>
                <w:lang w:val="uk-UA"/>
              </w:rPr>
              <w:t xml:space="preserve">.</w:t>
            </w:r>
            <w:r>
              <w:rPr>
                <w:color w:val="000000"/>
                <w:sz w:val="24"/>
              </w:rPr>
              <w:t xml:space="preserve"> Мена,  Корюківського р</w:t>
            </w:r>
            <w:r>
              <w:rPr>
                <w:color w:val="000000"/>
                <w:sz w:val="24"/>
                <w:lang w:val="uk-UA"/>
              </w:rPr>
              <w:t xml:space="preserve">айо</w:t>
            </w:r>
            <w:r>
              <w:rPr>
                <w:color w:val="000000"/>
                <w:sz w:val="24"/>
              </w:rPr>
              <w:t xml:space="preserve">ну, Чернігівської обл</w:t>
            </w:r>
            <w:r>
              <w:rPr>
                <w:color w:val="000000"/>
                <w:sz w:val="24"/>
                <w:lang w:val="uk-UA"/>
              </w:rPr>
              <w:t xml:space="preserve">асті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Оплата технічних умов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Виготовлення проєктно-кошторисної документації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Виконання топографічної зйомки  М 1:500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Проведення експертизи проєктно-кошторисної документації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</w:rPr>
              <w:t xml:space="preserve">Вартість будівельних робіт</w:t>
            </w:r>
            <w:r>
              <w:rPr>
                <w:color w:val="000000"/>
                <w:sz w:val="24"/>
                <w:szCs w:val="22"/>
              </w:rPr>
            </w:r>
            <w:r>
              <w:rPr>
                <w:color w:val="000000"/>
                <w:sz w:val="24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vMerge w:val="restart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vMerge w:val="restart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vMerge w:val="restart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Всього: </w:t>
            </w:r>
            <w:r>
              <w:rPr>
                <w:b/>
                <w:color w:val="000000"/>
                <w:sz w:val="22"/>
              </w:rPr>
              <w:t xml:space="preserve">2160,0</w:t>
            </w:r>
            <w:r>
              <w:rPr>
                <w:color w:val="000000"/>
                <w:sz w:val="22"/>
              </w:rPr>
              <w:t xml:space="preserve"> з них: 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highlight w:val="white"/>
              </w:rPr>
            </w:pPr>
            <w:r>
              <w:rPr>
                <w:color w:val="000000"/>
                <w:sz w:val="22"/>
                <w:highlight w:val="white"/>
              </w:rPr>
              <w:t xml:space="preserve">202</w:t>
            </w:r>
            <w:r>
              <w:rPr>
                <w:color w:val="000000"/>
                <w:sz w:val="22"/>
                <w:highlight w:val="white"/>
                <w:lang w:val="uk-UA"/>
              </w:rPr>
              <w:t xml:space="preserve">6</w:t>
            </w:r>
            <w:r>
              <w:rPr>
                <w:color w:val="000000"/>
                <w:sz w:val="22"/>
                <w:highlight w:val="white"/>
              </w:rPr>
              <w:t xml:space="preserve"> р.-</w:t>
            </w:r>
            <w:r>
              <w:rPr>
                <w:color w:val="000000"/>
                <w:highlight w:val="white"/>
              </w:rPr>
            </w:r>
            <w:r>
              <w:rPr>
                <w:color w:val="000000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50,0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70,0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25,0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15,0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 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</w:rPr>
            </w:pPr>
            <w:r>
              <w:rPr>
                <w:color w:val="000000"/>
                <w:sz w:val="22"/>
              </w:rPr>
              <w:t xml:space="preserve">2000,0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23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Відшкодування вартості послуг по заміні о</w:t>
            </w:r>
            <w:r>
              <w:rPr>
                <w:color w:val="000000"/>
                <w:sz w:val="24"/>
                <w:lang w:val="uk-UA"/>
              </w:rPr>
              <w:t xml:space="preserve">б</w:t>
            </w:r>
            <w:r>
              <w:rPr>
                <w:color w:val="000000"/>
                <w:sz w:val="24"/>
              </w:rPr>
              <w:t xml:space="preserve">ладнання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ТОВ «Менський комунальник»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</w:rPr>
            </w:pPr>
            <w:r>
              <w:rPr>
                <w:color w:val="000000"/>
                <w:sz w:val="22"/>
                <w:lang w:val="uk-UA"/>
              </w:rPr>
              <w:t xml:space="preserve">Всього:</w:t>
            </w:r>
            <w:r>
              <w:rPr>
                <w:b/>
                <w:color w:val="000000"/>
                <w:sz w:val="22"/>
                <w:lang w:val="uk-UA"/>
              </w:rPr>
              <w:t xml:space="preserve"> 15,0 </w:t>
            </w:r>
            <w:r>
              <w:rPr>
                <w:color w:val="000000"/>
                <w:sz w:val="22"/>
                <w:lang w:val="uk-UA"/>
              </w:rPr>
              <w:t xml:space="preserve">з них: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р.-15,0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р.-</w:t>
            </w:r>
            <w:r>
              <w:rPr>
                <w:color w:val="000000"/>
                <w:sz w:val="22"/>
                <w:highlight w:val="white"/>
              </w:rPr>
            </w:r>
            <w:r>
              <w:rPr>
                <w:color w:val="000000"/>
                <w:sz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2027 р.-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</w:tr>
      <w:tr>
        <w:trPr>
          <w:trHeight w:val="116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24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351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  <w:highlight w:val="white"/>
                <w:lang w:val="uk-UA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Будівництво водопровідної мережі по вулиці Сіверський шлях до вулиці Єдності в м. Мена, Чернігівської області</w:t>
            </w:r>
            <w:r>
              <w:rPr>
                <w:color w:val="000000"/>
                <w:sz w:val="24"/>
                <w:szCs w:val="24"/>
                <w:highlight w:val="white"/>
                <w:lang w:val="uk-UA"/>
              </w:rPr>
            </w:r>
            <w:r>
              <w:rPr>
                <w:color w:val="000000"/>
                <w:sz w:val="24"/>
                <w:szCs w:val="24"/>
                <w:highlight w:val="white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технічних умов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Виконання топографічної зйомки  М 1:500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Виготовлення проєктно-кошторисної документації та проведення експертизи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Вартість будівельних робіт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055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2"/>
                <w:lang w:val="uk-UA"/>
              </w:rPr>
              <w:t xml:space="preserve">2025-2027 роки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299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uk-UA"/>
              </w:rPr>
              <w:t xml:space="preserve">Менська міська рада, підприємства, що надають послуги з водопостачання та водовідведення</w:t>
            </w: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</w:r>
            <w:r>
              <w:rPr>
                <w:color w:val="000000"/>
                <w:sz w:val="22"/>
              </w:rPr>
            </w:r>
          </w:p>
        </w:tc>
        <w:tc>
          <w:tcPr>
            <w:tcBorders>
              <w:top w:val="single" w:color="auto" w:sz="4" w:space="0"/>
              <w:left w:val="none" w:color="auto" w:sz="4" w:space="0"/>
              <w:bottom w:val="single" w:color="auto" w:sz="4" w:space="0"/>
              <w:right w:val="single" w:color="auto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890" w:type="dxa"/>
            <w:vAlign w:val="top"/>
            <w:textDirection w:val="lrTb"/>
            <w:noWrap/>
          </w:tcPr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color w:val="000000"/>
                <w:sz w:val="24"/>
                <w:szCs w:val="24"/>
                <w:highlight w:val="white"/>
                <w:lang w:val="uk-UA"/>
              </w:rPr>
              <w:t xml:space="preserve">Всього: 2170,0</w:t>
            </w:r>
            <w:r>
              <w:rPr>
                <w:b/>
                <w:color w:val="000000"/>
                <w:sz w:val="24"/>
                <w:szCs w:val="24"/>
                <w:highlight w:val="white"/>
                <w:lang w:val="uk-UA"/>
              </w:rPr>
              <w:t xml:space="preserve">,</w:t>
            </w:r>
            <w:r>
              <w:rPr>
                <w:color w:val="000000"/>
                <w:sz w:val="24"/>
                <w:szCs w:val="24"/>
                <w:highlight w:val="white"/>
              </w:rPr>
            </w:r>
            <w:r>
              <w:rPr>
                <w:color w:val="000000"/>
                <w:sz w:val="24"/>
                <w:szCs w:val="24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2025 р.– 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2026 р.–2170,0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highlight w:val="white"/>
                <w:lang w:val="uk-UA"/>
              </w:rPr>
              <w:t xml:space="preserve">2027 р. – 0</w:t>
            </w:r>
            <w:r>
              <w:rPr>
                <w:color w:val="000000"/>
                <w:sz w:val="22"/>
                <w:szCs w:val="22"/>
                <w:highlight w:val="white"/>
              </w:rPr>
            </w:r>
            <w:r>
              <w:rPr>
                <w:color w:val="000000"/>
                <w:sz w:val="22"/>
                <w:szCs w:val="22"/>
                <w:highlight w:val="white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50,0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/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100,0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  <w:r>
              <w:rPr>
                <w:color w:val="000000"/>
                <w:sz w:val="24"/>
                <w:szCs w:val="24"/>
                <w:lang w:val="uk-UA"/>
              </w:rPr>
            </w:r>
          </w:p>
          <w:p>
            <w:pPr>
              <w:pStyle w:val="75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>
                <w:color w:val="000000"/>
                <w:sz w:val="22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2000,0</w:t>
            </w:r>
            <w:r>
              <w:rPr>
                <w:color w:val="000000"/>
                <w:sz w:val="22"/>
                <w:lang w:val="uk-UA"/>
              </w:rPr>
            </w:r>
            <w:r>
              <w:rPr>
                <w:color w:val="000000"/>
                <w:sz w:val="22"/>
                <w:lang w:val="uk-UA"/>
              </w:rPr>
            </w:r>
          </w:p>
        </w:tc>
      </w:tr>
    </w:tbl>
    <w:p>
      <w:pPr>
        <w:pStyle w:val="968"/>
        <w:pBdr/>
        <w:spacing w:after="0"/>
        <w:ind w:firstLine="709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</w:r>
      <w:r>
        <w:rPr>
          <w:color w:val="000000"/>
          <w:sz w:val="18"/>
          <w:szCs w:val="18"/>
        </w:rPr>
      </w:r>
    </w:p>
    <w:p>
      <w:pPr>
        <w:pStyle w:val="803"/>
        <w:pBdr/>
        <w:spacing w:after="0" w:before="0"/>
        <w:ind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5. ФІНАНСОВЕ ЗАБЕЗПЕЧЕННЯ ПРОГРАМИ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Фінансування Програми здійснюється за рахунок: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коштів місцевого бюджету (з врахуванням фінансових можливостей бюджету, в межах передбачених на кожен рік у бюджеті Менської міської територіальної громади);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коштів Державного бюджету;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коштів комунальних підприємств, що надають послуги з водопостачання та водовідведення відповідно до програм їх розвитку, затверджених Менською міською радою в порядку, встановленому законодавством;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інших джерел не заборонених законодавством України.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03"/>
        <w:pBdr/>
        <w:spacing w:after="0" w:before="0"/>
        <w:ind/>
        <w:jc w:val="center"/>
        <w:rPr>
          <w:rFonts w:ascii="Times New Roman" w:hAnsi="Times New Roman"/>
          <w:b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16"/>
          <w:szCs w:val="16"/>
        </w:rPr>
      </w:r>
      <w:r>
        <w:rPr>
          <w:rFonts w:ascii="Times New Roman" w:hAnsi="Times New Roman"/>
          <w:b/>
          <w:color w:val="000000"/>
          <w:sz w:val="16"/>
          <w:szCs w:val="16"/>
        </w:rPr>
      </w:r>
    </w:p>
    <w:p>
      <w:pPr>
        <w:pStyle w:val="803"/>
        <w:pBdr/>
        <w:spacing w:after="0" w:before="0"/>
        <w:ind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6. ОЧІКУВАНІ РЕЗУЛЬТАТИ ВИКОНАННЯ</w:t>
      </w:r>
      <w:r>
        <w:rPr>
          <w:rFonts w:ascii="Times New Roman" w:hAnsi="Times New Roman"/>
          <w:color w:val="000000"/>
          <w:lang w:val="uk-UA" w:eastAsia="ar-SA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uk-UA" w:eastAsia="ar-SA"/>
        </w:rPr>
        <w:t xml:space="preserve">ПРОГРАМИ,ВИЗНАЧЕННЯ ЇЇ ЕФЕКТИВНОСТІ</w:t>
      </w:r>
      <w:r>
        <w:rPr>
          <w:rFonts w:ascii="Times New Roman" w:hAnsi="Times New Roman"/>
          <w:b/>
          <w:color w:val="000000"/>
          <w:sz w:val="28"/>
          <w:szCs w:val="28"/>
        </w:rPr>
      </w:r>
      <w:r>
        <w:rPr>
          <w:rFonts w:ascii="Times New Roman" w:hAnsi="Times New Roman"/>
          <w:b/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Результатом виконання програми стане покращення над</w:t>
      </w:r>
      <w:r>
        <w:rPr>
          <w:color w:val="000000"/>
          <w:sz w:val="28"/>
          <w:szCs w:val="28"/>
          <w:lang w:val="uk-UA" w:eastAsia="ar-SA"/>
        </w:rPr>
        <w:t xml:space="preserve">ання послуг, а саме: зростання кількості споживачів, покращення якості питної води в громаді, зниження рівня захворюваності жителів громади, зменшення кількості аварійних робіт, зменшення відсотку зношуваності інженерних мереж та збільшення їх протяжності.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pBdr/>
        <w:spacing w:after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Виконання Програми дасть можливість забезпечити: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реалізацію державної політики у сфері питної води та питного водопостачання;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підвищення рівня якості послуг з питного водопостачання та водовідведення, що надаються населенню та якості питної води;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поліпшення санітарно-епідемічної ситуації щодо забезпечення питною водою та зниження внаслідок цього захворюваності населення;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охорону і раціональне використання джерел питного водопостачання;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впровадження на об’єктах питного водопостачання та водовідведення сучасних технологій, матеріалів, обладнання тощо;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зменшення непродуктовних втрат питної води і як наслідок – собівартості надання послуг з водопостачання;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68"/>
        <w:numPr>
          <w:ilvl w:val="0"/>
          <w:numId w:val="6"/>
        </w:numPr>
        <w:pBdr/>
        <w:tabs>
          <w:tab w:val="left" w:leader="none" w:pos="567"/>
        </w:tabs>
        <w:spacing w:after="0"/>
        <w:ind w:firstLine="0"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ar-SA"/>
        </w:rPr>
        <w:t xml:space="preserve">модернізацію інфраструктури об’єктів питного водопостачання.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spacing/>
        <w:ind/>
        <w:rPr>
          <w:color w:val="000000"/>
          <w:sz w:val="28"/>
          <w:szCs w:val="28"/>
        </w:rPr>
      </w:pPr>
      <w:r>
        <w:rPr>
          <w:color w:val="000000"/>
          <w:sz w:val="28"/>
          <w:lang w:val="uk-UA"/>
        </w:rPr>
        <w:t xml:space="preserve">Начальник відділу ЖКГ та комунального 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750"/>
        <w:pBdr/>
        <w:tabs>
          <w:tab w:val="left" w:leader="none" w:pos="6661"/>
        </w:tabs>
        <w:spacing/>
        <w:ind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 xml:space="preserve">майна Менської міської ради</w:t>
        <w:tab/>
        <w:t xml:space="preserve">Ірина ЄКИМЕНКО</w:t>
      </w:r>
      <w:r>
        <w:rPr>
          <w:color w:val="000000"/>
          <w:sz w:val="28"/>
          <w:lang w:val="uk-UA"/>
        </w:rPr>
      </w:r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Page"/>
      <w:pgSz w:h="16838" w:orient="portrait" w:w="11906"/>
      <w:pgMar w:top="1134" w:right="567" w:bottom="1134" w:left="1701" w:header="312" w:footer="709" w:gutter="0"/>
      <w:pgNumType w:start="1"/>
      <w:cols w:num="1" w:sep="0" w:space="720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Droid Sans">
    <w:panose1 w:val="020B0502000000000001"/>
  </w:font>
  <w:font w:name="Segoe UI">
    <w:panose1 w:val="020B0502040504020204"/>
  </w:font>
  <w:font w:name="Times New Roman">
    <w:panose1 w:val="02020603050405020304"/>
  </w:font>
  <w:font w:name="Calibri">
    <w:panose1 w:val="020F0502020204030204"/>
  </w:font>
  <w:font w:name="Courier New">
    <w:panose1 w:val="02070309020205020404"/>
  </w:font>
  <w:font w:name="OpenSymbol">
    <w:panose1 w:val="05010000000000000000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9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 w:firstLine="3685"/>
      <w:jc w:val="right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3</w:t>
    </w:r>
    <w:r>
      <w:fldChar w:fldCharType="end"/>
    </w:r>
    <w:r>
      <w:t xml:space="preserve"> </w:t>
      <w:tab/>
      <w:t xml:space="preserve">                                                          продовження додатка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/>
      <w:rPr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9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F7E11"/>
    <w:lvl w:ilvl="0">
      <w:isLgl w:val="false"/>
      <w:lvlJc w:val="left"/>
      <w:lvlText w:val="-"/>
      <w:numFmt w:val="bullet"/>
      <w:pPr>
        <w:pBdr/>
        <w:spacing/>
        <w:ind w:hanging="359" w:left="1287"/>
      </w:pPr>
      <w:rPr>
        <w:rFonts w:ascii="Times New Roman" w:hAnsi="Times New Roman" w:eastAsia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047"/>
      </w:pPr>
      <w:rPr>
        <w:rFonts w:ascii="Wingdings" w:hAnsi="Wingdings"/>
      </w:rPr>
      <w:start w:val="1"/>
      <w:suff w:val="tab"/>
    </w:lvl>
  </w:abstractNum>
  <w:abstractNum w:abstractNumId="1">
    <w:nsid w:val="1CD42E87"/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9" w:left="720"/>
      </w:pPr>
      <w:rPr>
        <w:rFonts w:ascii="Times New Roman" w:hAnsi="Times New Roman" w:eastAsia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9" w:left="6480"/>
      </w:pPr>
      <w:rPr/>
      <w:start w:val="1"/>
      <w:suff w:val="tab"/>
    </w:lvl>
  </w:abstractNum>
  <w:abstractNum w:abstractNumId="2">
    <w:nsid w:val="2457687E"/>
    <w:lvl w:ilvl="0">
      <w:isLgl w:val="false"/>
      <w:lvlJc w:val="left"/>
      <w:lvlText w:val="%1."/>
      <w:numFmt w:val="decimal"/>
      <w:pPr>
        <w:pBdr/>
        <w:tabs>
          <w:tab w:val="left" w:leader="none" w:pos="0"/>
        </w:tabs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left" w:leader="none" w:pos="1080"/>
        </w:tabs>
        <w:spacing/>
        <w:ind w:hanging="359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1800"/>
        </w:tabs>
        <w:spacing/>
        <w:ind w:hanging="359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left" w:leader="none" w:pos="2160"/>
        </w:tabs>
        <w:spacing/>
        <w:ind w:hanging="359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left" w:leader="none" w:pos="2520"/>
        </w:tabs>
        <w:spacing/>
        <w:ind w:hanging="359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left" w:leader="none" w:pos="3240"/>
        </w:tabs>
        <w:spacing/>
        <w:ind w:hanging="359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</w:abstractNum>
  <w:abstractNum w:abstractNumId="3">
    <w:nsid w:val="2602664A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4">
    <w:nsid w:val="2EC60FFD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5">
    <w:nsid w:val="32E830FA"/>
    <w:lvl w:ilvl="0">
      <w:isLgl w:val="false"/>
      <w:lvlJc w:val="left"/>
      <w:lvlText w:val=""/>
      <w:numFmt w:val="bullet"/>
      <w:pPr>
        <w:pBdr/>
        <w:tabs>
          <w:tab w:val="left" w:leader="none" w:pos="720"/>
        </w:tabs>
        <w:spacing/>
        <w:ind w:hanging="359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left" w:leader="none" w:pos="1440"/>
        </w:tabs>
        <w:spacing/>
        <w:ind w:hanging="359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left" w:leader="none" w:pos="2160"/>
        </w:tabs>
        <w:spacing/>
        <w:ind w:hanging="359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left" w:leader="none" w:pos="2880"/>
        </w:tabs>
        <w:spacing/>
        <w:ind w:hanging="359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left" w:leader="none" w:pos="3600"/>
        </w:tabs>
        <w:spacing/>
        <w:ind w:hanging="359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left" w:leader="none" w:pos="4320"/>
        </w:tabs>
        <w:spacing/>
        <w:ind w:hanging="359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left" w:leader="none" w:pos="5040"/>
        </w:tabs>
        <w:spacing/>
        <w:ind w:hanging="359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left" w:leader="none" w:pos="5760"/>
        </w:tabs>
        <w:spacing/>
        <w:ind w:hanging="359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left" w:leader="none" w:pos="6480"/>
        </w:tabs>
        <w:spacing/>
        <w:ind w:hanging="359" w:left="6480"/>
      </w:pPr>
      <w:rPr>
        <w:rFonts w:ascii="Wingdings" w:hAnsi="Wingdings"/>
        <w:sz w:val="20"/>
      </w:rPr>
      <w:start w:val="1"/>
      <w:suff w:val="tab"/>
    </w:lvl>
  </w:abstractNum>
  <w:abstractNum w:abstractNumId="6">
    <w:nsid w:val="3A82557A"/>
    <w:lvl w:ilvl="0">
      <w:isLgl w:val="false"/>
      <w:lvlJc w:val="left"/>
      <w:lvlText w:val="Ē駞煓쐨Ē遠׷,%1遈׷退׷쎐Ē馧煕,䊴̏쐨Ē䊴̏逜׷쎤Ēᦄ父"/>
      <w:numFmt w:val="decimal"/>
      <w:pPr>
        <w:pBdr/>
        <w:tabs>
          <w:tab w:val="left" w:leader="none" w:pos="0"/>
        </w:tabs>
        <w:spacing/>
        <w:ind w:hanging="359" w:left="720"/>
      </w:pPr>
      <w:rPr/>
      <w:start w:val="1"/>
      <w:suff w:val="nothing"/>
    </w:lvl>
    <w:lvl w:ilvl="1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080"/>
      </w:pPr>
      <w:rPr/>
      <w:start w:val="1"/>
      <w:suff w:val="nothing"/>
    </w:lvl>
    <w:lvl w:ilvl="2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440"/>
      </w:pPr>
      <w:rPr/>
      <w:start w:val="1"/>
      <w:suff w:val="nothing"/>
    </w:lvl>
    <w:lvl w:ilvl="3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1800"/>
      </w:pPr>
      <w:rPr/>
      <w:start w:val="1"/>
      <w:suff w:val="nothing"/>
    </w:lvl>
    <w:lvl w:ilvl="4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160"/>
      </w:pPr>
      <w:rPr/>
      <w:start w:val="1"/>
      <w:suff w:val="nothing"/>
    </w:lvl>
    <w:lvl w:ilvl="5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520"/>
      </w:pPr>
      <w:rPr/>
      <w:start w:val="1"/>
      <w:suff w:val="nothing"/>
    </w:lvl>
    <w:lvl w:ilvl="6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2880"/>
      </w:pPr>
      <w:rPr/>
      <w:start w:val="1"/>
      <w:suff w:val="nothing"/>
    </w:lvl>
    <w:lvl w:ilvl="7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3240"/>
      </w:pPr>
      <w:rPr/>
      <w:start w:val="1"/>
      <w:suff w:val="nothing"/>
    </w:lvl>
    <w:lvl w:ilvl="8">
      <w:isLgl w:val="false"/>
      <w:lvlJc w:val="left"/>
      <w:lvlText w:val="Ē駞煓쐨Ē遠׷,%1遈׷退׷쎐Ē馧煕,%1䊴̏쐨Ē䊴̏逜׷쎤Ēᦄ父"/>
      <w:numFmt w:val="decimal"/>
      <w:pPr>
        <w:pBdr/>
        <w:tabs>
          <w:tab w:val="left" w:leader="none" w:pos="0"/>
        </w:tabs>
        <w:spacing/>
        <w:ind w:hanging="359" w:left="3600"/>
      </w:pPr>
      <w:rPr/>
      <w:start w:val="1"/>
      <w:suff w:val="nothing"/>
    </w:lvl>
  </w:abstractNum>
  <w:abstractNum w:abstractNumId="7">
    <w:nsid w:val="3D9A754C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8">
    <w:nsid w:val="3F764477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9">
    <w:nsid w:val="413C6AA0"/>
    <w:lvl w:ilvl="0">
      <w:isLgl w:val="false"/>
      <w:lvlJc w:val="left"/>
      <w:lvlText w:val="-"/>
      <w:numFmt w:val="bullet"/>
      <w:pPr>
        <w:pBdr/>
        <w:tabs>
          <w:tab w:val="left" w:leader="none" w:pos="0"/>
        </w:tabs>
        <w:spacing/>
        <w:ind w:hanging="359" w:left="720"/>
      </w:pPr>
      <w:rPr>
        <w:rFonts w:ascii="OpenSymbol" w:hAnsi="Open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left" w:leader="none" w:pos="1080"/>
        </w:tabs>
        <w:spacing/>
        <w:ind w:hanging="359" w:left="108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1800"/>
        </w:tabs>
        <w:spacing/>
        <w:ind w:hanging="359" w:left="180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left" w:leader="none" w:pos="2160"/>
        </w:tabs>
        <w:spacing/>
        <w:ind w:hanging="359" w:left="21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left" w:leader="none" w:pos="2520"/>
        </w:tabs>
        <w:spacing/>
        <w:ind w:hanging="359" w:left="25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left" w:leader="none" w:pos="3240"/>
        </w:tabs>
        <w:spacing/>
        <w:ind w:hanging="359" w:left="324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</w:abstractNum>
  <w:abstractNum w:abstractNumId="10">
    <w:nsid w:val="45AB7F2A"/>
    <w:lvl w:ilvl="0">
      <w:isLgl w:val="false"/>
      <w:lvlJc w:val="left"/>
      <w:lvlText w:val="Ē駞煓쐨Ē셸؃,%1셐؃쀀؃쎐Ē馧煕,䊴̏쐨Ē䊴̏쀜؃쎤Ēᦄ父"/>
      <w:numFmt w:val="decimal"/>
      <w:pPr>
        <w:pBdr/>
        <w:tabs>
          <w:tab w:val="left" w:leader="none" w:pos="0"/>
        </w:tabs>
        <w:spacing/>
        <w:ind w:hanging="431" w:left="432"/>
      </w:pPr>
      <w:rPr/>
      <w:start w:val="1"/>
      <w:suff w:val="nothing"/>
    </w:lvl>
    <w:lvl w:ilvl="1">
      <w:isLgl w:val="false"/>
      <w:lvlJc w:val="left"/>
      <w:lvlText w:val="Ē駞煓쐨Ē셸؃,%1셐؃쀀؃쎐Ē馧煕,䊴̏쐨Ē䊴̏쀜؃쎤Ēᦄ父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2">
      <w:isLgl w:val="false"/>
      <w:lvlJc w:val="left"/>
      <w:lvlText w:val="Ē駞煓쐨Ē셸؃,%1셐؃쀀؃쎐Ē馧煕,䊴̏쐨Ē䊴̏쀜؃쎤Ēᦄ父"/>
      <w:numFmt w:val="decimal"/>
      <w:pPr>
        <w:pBdr/>
        <w:tabs>
          <w:tab w:val="num" w:leader="none" w:pos="360"/>
        </w:tabs>
        <w:spacing/>
        <w:ind/>
      </w:pPr>
      <w:rPr/>
      <w:start w:val="0"/>
      <w:suff w:val="tab"/>
    </w:lvl>
    <w:lvl w:ilvl="3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863" w:left="864"/>
      </w:pPr>
      <w:rPr/>
      <w:start w:val="1"/>
      <w:suff w:val="nothing"/>
    </w:lvl>
    <w:lvl w:ilvl="4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007" w:left="1008"/>
      </w:pPr>
      <w:rPr/>
      <w:start w:val="1"/>
      <w:suff w:val="nothing"/>
    </w:lvl>
    <w:lvl w:ilvl="5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151" w:left="1152"/>
      </w:pPr>
      <w:rPr/>
      <w:start w:val="1"/>
      <w:suff w:val="nothing"/>
    </w:lvl>
    <w:lvl w:ilvl="6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295" w:left="1296"/>
      </w:pPr>
      <w:rPr/>
      <w:start w:val="1"/>
      <w:suff w:val="nothing"/>
    </w:lvl>
    <w:lvl w:ilvl="7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439" w:left="1440"/>
      </w:pPr>
      <w:rPr/>
      <w:start w:val="1"/>
      <w:suff w:val="nothing"/>
    </w:lvl>
    <w:lvl w:ilvl="8">
      <w:isLgl w:val="false"/>
      <w:lvlJc w:val="left"/>
      <w:lvlText w:val="Ē駞煓쐨Ē셸؃,%1셐؃쀀؃쎐Ē馧煕,%1䊴̏쐨Ē䊴̏쀜؃쎤Ē%47"/>
      <w:numFmt w:val="decimal"/>
      <w:pPr>
        <w:pBdr/>
        <w:tabs>
          <w:tab w:val="left" w:leader="none" w:pos="0"/>
        </w:tabs>
        <w:spacing/>
        <w:ind w:hanging="1583" w:left="1584"/>
      </w:pPr>
      <w:rPr/>
      <w:start w:val="1"/>
      <w:suff w:val="nothing"/>
    </w:lvl>
  </w:abstractNum>
  <w:abstractNum w:abstractNumId="11">
    <w:nsid w:val="4D101E4C"/>
    <w:lvl w:ilvl="0">
      <w:isLgl w:val="false"/>
      <w:lvlJc w:val="left"/>
      <w:lvlText w:val="-"/>
      <w:numFmt w:val="bullet"/>
      <w:pPr>
        <w:pBdr/>
        <w:spacing/>
        <w:ind w:hanging="359" w:left="1287"/>
      </w:pPr>
      <w:rPr>
        <w:rFonts w:ascii="Times New Roman" w:hAnsi="Times New Roman" w:eastAsia="Times New Roman"/>
      </w:rPr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047"/>
      </w:pPr>
      <w:rPr>
        <w:rFonts w:ascii="Wingdings" w:hAnsi="Wingdings"/>
      </w:rPr>
      <w:start w:val="1"/>
      <w:suff w:val="tab"/>
    </w:lvl>
  </w:abstractNum>
  <w:abstractNum w:abstractNumId="12">
    <w:nsid w:val="54D777D8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13">
    <w:nsid w:val="6A871513"/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4">
    <w:nsid w:val="6CB47451"/>
    <w:lvl w:ilvl="0">
      <w:isLgl w:val="false"/>
      <w:lvlJc w:val="left"/>
      <w:lvlText w:val="-"/>
      <w:numFmt w:val="bullet"/>
      <w:pPr>
        <w:pBdr/>
        <w:spacing/>
        <w:ind w:hanging="359" w:left="1460"/>
      </w:pPr>
      <w:rPr>
        <w:rFonts w:ascii="Times New Roman" w:hAnsi="Times New Roman" w:eastAsia="Times New Roman"/>
        <w:color w:val="000000"/>
        <w:sz w:val="22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218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9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36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434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50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7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650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7220"/>
      </w:pPr>
      <w:rPr>
        <w:rFonts w:ascii="Wingdings" w:hAnsi="Wingdings"/>
      </w:rPr>
      <w:start w:val="1"/>
      <w:suff w:val="tab"/>
    </w:lvl>
  </w:abstractNum>
  <w:abstractNum w:abstractNumId="15">
    <w:nsid w:val="7CC563BF"/>
    <w:lvl w:ilvl="0">
      <w:isLgl w:val="false"/>
      <w:lvlJc w:val="left"/>
      <w:lvlText w:val="%1."/>
      <w:numFmt w:val="decimal"/>
      <w:pPr>
        <w:pBdr/>
        <w:tabs>
          <w:tab w:val="left" w:leader="none" w:pos="720"/>
        </w:tabs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left" w:leader="none" w:pos="1440"/>
        </w:tabs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left" w:leader="none" w:pos="2160"/>
        </w:tabs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left" w:leader="none" w:pos="2880"/>
        </w:tabs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left" w:leader="none" w:pos="3600"/>
        </w:tabs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left" w:leader="none" w:pos="4320"/>
        </w:tabs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left" w:leader="none" w:pos="5040"/>
        </w:tabs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left" w:leader="none" w:pos="5760"/>
        </w:tabs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left" w:leader="none" w:pos="6480"/>
        </w:tabs>
        <w:spacing/>
        <w:ind w:hanging="179" w:left="6480"/>
      </w:pPr>
      <w:rPr/>
      <w:start w:val="1"/>
      <w:suff w:val="tab"/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2"/>
  </w:num>
  <w:num w:numId="5">
    <w:abstractNumId w:val="13"/>
  </w:num>
  <w:num w:numId="6">
    <w:abstractNumId w:val="12"/>
  </w:num>
  <w:num w:numId="7">
    <w:abstractNumId w:val="11"/>
  </w:num>
  <w:num w:numId="8">
    <w:abstractNumId w:val="5"/>
  </w:num>
  <w:num w:numId="9">
    <w:abstractNumId w:val="7"/>
  </w:num>
  <w:num w:numId="10">
    <w:abstractNumId w:val="8"/>
  </w:num>
  <w:num w:numId="11">
    <w:abstractNumId w:val="3"/>
  </w:num>
  <w:num w:numId="12">
    <w:abstractNumId w:val="4"/>
  </w:num>
  <w:num w:numId="13">
    <w:abstractNumId w:val="14"/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50"/>
    <w:next w:val="750"/>
    <w:link w:val="80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50"/>
    <w:next w:val="750"/>
    <w:link w:val="81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50"/>
    <w:next w:val="750"/>
    <w:link w:val="81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50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50"/>
    <w:next w:val="750"/>
    <w:link w:val="81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50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50"/>
    <w:link w:val="9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50"/>
    <w:link w:val="9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50"/>
    <w:link w:val="92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50"/>
    <w:link w:val="81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90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1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2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3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4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5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6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7">
    <w:name w:val="toc 9"/>
    <w:basedOn w:val="750"/>
    <w:next w:val="750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next w:val="750"/>
    <w:link w:val="750"/>
    <w:qFormat/>
    <w:pPr>
      <w:pBdr/>
      <w:spacing/>
      <w:ind/>
    </w:pPr>
    <w:rPr>
      <w:lang w:val="ru-RU" w:eastAsia="zh-CN" w:bidi="ar-SA"/>
    </w:rPr>
  </w:style>
  <w:style w:type="character" w:styleId="751">
    <w:name w:val="Основной шрифт абзаца"/>
    <w:next w:val="751"/>
    <w:link w:val="750"/>
    <w:uiPriority w:val="1"/>
    <w:semiHidden/>
    <w:unhideWhenUsed/>
    <w:pPr>
      <w:pBdr/>
      <w:spacing/>
      <w:ind/>
    </w:pPr>
  </w:style>
  <w:style w:type="table" w:styleId="752">
    <w:name w:val="Обычная таблица"/>
    <w:next w:val="752"/>
    <w:link w:val="750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>
    <w:name w:val="Нет списка"/>
    <w:next w:val="753"/>
    <w:link w:val="750"/>
    <w:uiPriority w:val="99"/>
    <w:semiHidden/>
    <w:unhideWhenUsed/>
    <w:pPr>
      <w:pBdr/>
      <w:spacing/>
      <w:ind/>
    </w:pPr>
  </w:style>
  <w:style w:type="table" w:styleId="754">
    <w:name w:val="Сетка таблицы"/>
    <w:basedOn w:val="752"/>
    <w:next w:val="754"/>
    <w:link w:val="750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55">
    <w:name w:val="Название"/>
    <w:basedOn w:val="750"/>
    <w:next w:val="968"/>
    <w:link w:val="812"/>
    <w:uiPriority w:val="10"/>
    <w:pPr>
      <w:keepNext w:val="true"/>
      <w:pBdr/>
      <w:spacing w:after="120" w:before="240"/>
      <w:ind/>
    </w:pPr>
    <w:rPr>
      <w:sz w:val="48"/>
      <w:szCs w:val="48"/>
      <w:lang w:val="en-US" w:eastAsia="en-US"/>
    </w:rPr>
  </w:style>
  <w:style w:type="paragraph" w:styleId="756">
    <w:name w:val="Подзаголовок"/>
    <w:basedOn w:val="750"/>
    <w:next w:val="756"/>
    <w:link w:val="936"/>
    <w:uiPriority w:val="1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200"/>
      <w:ind/>
    </w:pPr>
    <w:rPr>
      <w:sz w:val="24"/>
      <w:szCs w:val="24"/>
      <w:lang w:val="en-US" w:eastAsia="en-US"/>
    </w:rPr>
  </w:style>
  <w:style w:type="paragraph" w:styleId="757">
    <w:name w:val="Цитата 2"/>
    <w:basedOn w:val="750"/>
    <w:next w:val="757"/>
    <w:link w:val="937"/>
    <w:uiPriority w:val="2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720" w:left="720"/>
    </w:pPr>
    <w:rPr>
      <w:i/>
    </w:rPr>
  </w:style>
  <w:style w:type="paragraph" w:styleId="758">
    <w:name w:val="Абзац списка"/>
    <w:basedOn w:val="750"/>
    <w:next w:val="758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20"/>
      </w:tabs>
      <w:spacing/>
      <w:ind w:right="5" w:firstLine="680" w:left="720"/>
      <w:contextualSpacing w:val="true"/>
      <w:jc w:val="both"/>
    </w:pPr>
    <w:rPr>
      <w:color w:val="000000"/>
      <w:sz w:val="28"/>
      <w:szCs w:val="28"/>
      <w:lang w:eastAsia="uk-UA"/>
    </w:rPr>
  </w:style>
  <w:style w:type="character" w:styleId="759">
    <w:name w:val="Сильное выделение"/>
    <w:basedOn w:val="751"/>
    <w:next w:val="759"/>
    <w:link w:val="750"/>
    <w:uiPriority w:val="21"/>
    <w:qFormat/>
    <w:pPr>
      <w:pBdr/>
      <w:spacing/>
      <w:ind/>
    </w:pPr>
    <w:rPr>
      <w:i/>
      <w:iCs/>
      <w:color w:val="365f91"/>
    </w:rPr>
  </w:style>
  <w:style w:type="paragraph" w:styleId="760">
    <w:name w:val="Выделенная цитата"/>
    <w:basedOn w:val="750"/>
    <w:next w:val="760"/>
    <w:link w:val="938"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  <w:shd w:val="clear" w:color="auto" w:fill="f2f2f2"/>
      <w:spacing/>
      <w:ind w:right="720" w:left="720"/>
    </w:pPr>
    <w:rPr>
      <w:i/>
    </w:rPr>
  </w:style>
  <w:style w:type="character" w:styleId="761">
    <w:name w:val="Сильная ссылка"/>
    <w:basedOn w:val="751"/>
    <w:next w:val="761"/>
    <w:link w:val="750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2">
    <w:name w:val="Без интервала"/>
    <w:basedOn w:val="750"/>
    <w:next w:val="762"/>
    <w:link w:val="98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 w:right="6"/>
      <w:jc w:val="both"/>
    </w:pPr>
    <w:rPr>
      <w:sz w:val="28"/>
      <w:szCs w:val="28"/>
      <w:shd w:val="clear" w:color="auto" w:fill="ffffff"/>
      <w:lang w:val="en-US" w:eastAsia="ru-RU"/>
    </w:rPr>
  </w:style>
  <w:style w:type="character" w:styleId="763">
    <w:name w:val="Слабое выделение"/>
    <w:basedOn w:val="751"/>
    <w:next w:val="763"/>
    <w:link w:val="750"/>
    <w:uiPriority w:val="19"/>
    <w:qFormat/>
    <w:pPr>
      <w:pBdr/>
      <w:spacing/>
      <w:ind/>
    </w:pPr>
    <w:rPr>
      <w:i/>
      <w:iCs/>
      <w:color w:val="404040"/>
    </w:rPr>
  </w:style>
  <w:style w:type="character" w:styleId="764">
    <w:name w:val="Выделение"/>
    <w:basedOn w:val="751"/>
    <w:next w:val="764"/>
    <w:link w:val="750"/>
    <w:uiPriority w:val="20"/>
    <w:qFormat/>
    <w:pPr>
      <w:pBdr/>
      <w:spacing/>
      <w:ind/>
    </w:pPr>
    <w:rPr>
      <w:i/>
      <w:iCs/>
    </w:rPr>
  </w:style>
  <w:style w:type="character" w:styleId="765">
    <w:name w:val="Строгий"/>
    <w:next w:val="765"/>
    <w:link w:val="750"/>
    <w:pPr>
      <w:pBdr/>
      <w:spacing/>
      <w:ind/>
    </w:pPr>
    <w:rPr>
      <w:b/>
    </w:rPr>
  </w:style>
  <w:style w:type="character" w:styleId="766">
    <w:name w:val="Слабая ссылка"/>
    <w:basedOn w:val="751"/>
    <w:next w:val="766"/>
    <w:link w:val="750"/>
    <w:uiPriority w:val="31"/>
    <w:qFormat/>
    <w:pPr>
      <w:pBdr/>
      <w:spacing/>
      <w:ind/>
    </w:pPr>
    <w:rPr>
      <w:smallCaps/>
      <w:color w:val="5a5a5a"/>
    </w:rPr>
  </w:style>
  <w:style w:type="character" w:styleId="767">
    <w:name w:val="Название книги"/>
    <w:basedOn w:val="751"/>
    <w:next w:val="767"/>
    <w:link w:val="7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68">
    <w:name w:val="Header1"/>
    <w:basedOn w:val="750"/>
    <w:next w:val="768"/>
    <w:link w:val="9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69">
    <w:name w:val="Footer1"/>
    <w:basedOn w:val="750"/>
    <w:next w:val="769"/>
    <w:link w:val="9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0">
    <w:name w:val="Caption1"/>
    <w:basedOn w:val="750"/>
    <w:next w:val="750"/>
    <w:link w:val="750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71">
    <w:name w:val="Текст сноски"/>
    <w:basedOn w:val="750"/>
    <w:next w:val="771"/>
    <w:link w:val="962"/>
    <w:uiPriority w:val="99"/>
    <w:semiHidden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40"/>
      <w:ind/>
    </w:pPr>
    <w:rPr>
      <w:sz w:val="18"/>
      <w:lang w:val="en-US" w:eastAsia="en-US"/>
    </w:rPr>
  </w:style>
  <w:style w:type="character" w:styleId="772">
    <w:name w:val="Знак сноски"/>
    <w:next w:val="772"/>
    <w:link w:val="750"/>
    <w:pPr>
      <w:pBdr/>
      <w:spacing/>
      <w:ind/>
    </w:pPr>
    <w:rPr>
      <w:vertAlign w:val="superscript"/>
    </w:rPr>
  </w:style>
  <w:style w:type="paragraph" w:styleId="773">
    <w:name w:val="Текст концевой сноски"/>
    <w:basedOn w:val="750"/>
    <w:next w:val="773"/>
    <w:link w:val="925"/>
    <w:uiPriority w:val="99"/>
    <w:semiHidden/>
    <w:unhideWhenUsed/>
    <w:pPr>
      <w:pBdr/>
      <w:spacing/>
      <w:ind/>
    </w:pPr>
  </w:style>
  <w:style w:type="character" w:styleId="774">
    <w:name w:val="Знак концевой сноски"/>
    <w:next w:val="774"/>
    <w:link w:val="750"/>
    <w:uiPriority w:val="99"/>
    <w:semiHidden/>
    <w:unhideWhenUsed/>
    <w:pPr>
      <w:pBdr/>
      <w:spacing/>
      <w:ind/>
    </w:pPr>
    <w:rPr>
      <w:vertAlign w:val="superscript"/>
    </w:rPr>
  </w:style>
  <w:style w:type="character" w:styleId="775">
    <w:name w:val="Гиперссылка"/>
    <w:next w:val="775"/>
    <w:link w:val="750"/>
    <w:pPr>
      <w:pBdr/>
      <w:spacing/>
      <w:ind/>
    </w:pPr>
    <w:rPr>
      <w:color w:val="000080"/>
      <w:u w:val="single"/>
      <w:lang w:val="en-US" w:eastAsia="en-US" w:bidi="en-US"/>
    </w:rPr>
  </w:style>
  <w:style w:type="character" w:styleId="776">
    <w:name w:val="Просмотренная гиперссылка"/>
    <w:basedOn w:val="751"/>
    <w:next w:val="776"/>
    <w:link w:val="750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77">
    <w:name w:val="Оглавление 1"/>
    <w:basedOn w:val="750"/>
    <w:next w:val="777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/>
    </w:pPr>
    <w:rPr>
      <w:sz w:val="22"/>
      <w:szCs w:val="22"/>
      <w:lang w:val="uk-UA" w:eastAsia="en-US" w:bidi="en-US"/>
    </w:rPr>
  </w:style>
  <w:style w:type="paragraph" w:styleId="778">
    <w:name w:val="Оглавление 2"/>
    <w:basedOn w:val="750"/>
    <w:next w:val="778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83"/>
    </w:pPr>
    <w:rPr>
      <w:sz w:val="22"/>
      <w:szCs w:val="22"/>
      <w:lang w:val="uk-UA" w:eastAsia="en-US" w:bidi="en-US"/>
    </w:rPr>
  </w:style>
  <w:style w:type="paragraph" w:styleId="779">
    <w:name w:val="Оглавление 3"/>
    <w:basedOn w:val="750"/>
    <w:next w:val="779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567"/>
    </w:pPr>
    <w:rPr>
      <w:sz w:val="22"/>
      <w:szCs w:val="22"/>
      <w:lang w:val="uk-UA" w:eastAsia="en-US" w:bidi="en-US"/>
    </w:rPr>
  </w:style>
  <w:style w:type="paragraph" w:styleId="780">
    <w:name w:val="Оглавление 4"/>
    <w:basedOn w:val="750"/>
    <w:next w:val="780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850"/>
    </w:pPr>
    <w:rPr>
      <w:sz w:val="22"/>
      <w:szCs w:val="22"/>
      <w:lang w:val="uk-UA" w:eastAsia="en-US" w:bidi="en-US"/>
    </w:rPr>
  </w:style>
  <w:style w:type="paragraph" w:styleId="781">
    <w:name w:val="Оглавление 5"/>
    <w:basedOn w:val="750"/>
    <w:next w:val="781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134"/>
    </w:pPr>
    <w:rPr>
      <w:sz w:val="22"/>
      <w:szCs w:val="22"/>
      <w:lang w:val="uk-UA" w:eastAsia="en-US" w:bidi="en-US"/>
    </w:rPr>
  </w:style>
  <w:style w:type="paragraph" w:styleId="782">
    <w:name w:val="Оглавление 6"/>
    <w:basedOn w:val="750"/>
    <w:next w:val="782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417"/>
    </w:pPr>
    <w:rPr>
      <w:sz w:val="22"/>
      <w:szCs w:val="22"/>
      <w:lang w:val="uk-UA" w:eastAsia="en-US" w:bidi="en-US"/>
    </w:rPr>
  </w:style>
  <w:style w:type="paragraph" w:styleId="783">
    <w:name w:val="Оглавление 7"/>
    <w:basedOn w:val="750"/>
    <w:next w:val="783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701"/>
    </w:pPr>
    <w:rPr>
      <w:sz w:val="22"/>
      <w:szCs w:val="22"/>
      <w:lang w:val="uk-UA" w:eastAsia="en-US" w:bidi="en-US"/>
    </w:rPr>
  </w:style>
  <w:style w:type="paragraph" w:styleId="784">
    <w:name w:val="Оглавление 8"/>
    <w:basedOn w:val="750"/>
    <w:next w:val="784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1984"/>
    </w:pPr>
    <w:rPr>
      <w:sz w:val="22"/>
      <w:szCs w:val="22"/>
      <w:lang w:val="uk-UA" w:eastAsia="en-US" w:bidi="en-US"/>
    </w:rPr>
  </w:style>
  <w:style w:type="paragraph" w:styleId="785">
    <w:name w:val="Оглавление 9"/>
    <w:basedOn w:val="750"/>
    <w:next w:val="785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57"/>
      <w:ind w:left="2268"/>
    </w:pPr>
    <w:rPr>
      <w:sz w:val="22"/>
      <w:szCs w:val="22"/>
      <w:lang w:val="uk-UA" w:eastAsia="en-US" w:bidi="en-US"/>
    </w:rPr>
  </w:style>
  <w:style w:type="character" w:styleId="786">
    <w:name w:val="Замещающий текст"/>
    <w:basedOn w:val="751"/>
    <w:next w:val="786"/>
    <w:link w:val="750"/>
    <w:uiPriority w:val="99"/>
    <w:semiHidden/>
    <w:pPr>
      <w:pBdr/>
      <w:spacing/>
      <w:ind/>
    </w:pPr>
    <w:rPr>
      <w:color w:val="666666"/>
    </w:rPr>
  </w:style>
  <w:style w:type="paragraph" w:styleId="787">
    <w:name w:val="Заголовок оглавления"/>
    <w:next w:val="787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</w:style>
  <w:style w:type="paragraph" w:styleId="788">
    <w:name w:val="Перечень рисунков"/>
    <w:basedOn w:val="750"/>
    <w:next w:val="788"/>
    <w:link w:val="750"/>
    <w:uiPriority w:val="99"/>
    <w:unhideWhenUsed/>
    <w:pPr>
      <w:pBdr/>
      <w:spacing/>
      <w:ind/>
    </w:pPr>
  </w:style>
  <w:style w:type="character" w:styleId="792">
    <w:name w:val="Heading 1 Char"/>
    <w:basedOn w:val="751"/>
    <w:next w:val="792"/>
    <w:link w:val="802"/>
    <w:uiPriority w:val="9"/>
    <w:pPr>
      <w:pBdr/>
      <w:spacing/>
      <w:ind/>
    </w:pPr>
    <w:rPr>
      <w:rFonts w:ascii="Arial" w:hAnsi="Arial" w:eastAsia="Arial" w:cs="Arial"/>
      <w:color w:val="365f91"/>
      <w:sz w:val="40"/>
      <w:szCs w:val="40"/>
    </w:rPr>
  </w:style>
  <w:style w:type="character" w:styleId="793">
    <w:name w:val="Heading 2 Char"/>
    <w:basedOn w:val="751"/>
    <w:next w:val="793"/>
    <w:link w:val="803"/>
    <w:uiPriority w:val="9"/>
    <w:pPr>
      <w:pBdr/>
      <w:spacing/>
      <w:ind/>
    </w:pPr>
    <w:rPr>
      <w:rFonts w:ascii="Arial" w:hAnsi="Arial" w:eastAsia="Arial" w:cs="Arial"/>
      <w:color w:val="365f91"/>
      <w:sz w:val="32"/>
      <w:szCs w:val="32"/>
    </w:rPr>
  </w:style>
  <w:style w:type="character" w:styleId="794">
    <w:name w:val="Heading 3 Char"/>
    <w:basedOn w:val="751"/>
    <w:next w:val="794"/>
    <w:link w:val="804"/>
    <w:uiPriority w:val="9"/>
    <w:pPr>
      <w:pBdr/>
      <w:spacing/>
      <w:ind/>
    </w:pPr>
    <w:rPr>
      <w:rFonts w:ascii="Arial" w:hAnsi="Arial" w:eastAsia="Arial" w:cs="Arial"/>
      <w:color w:val="365f91"/>
      <w:sz w:val="28"/>
      <w:szCs w:val="28"/>
    </w:rPr>
  </w:style>
  <w:style w:type="character" w:styleId="795">
    <w:name w:val="Heading 4 Char"/>
    <w:basedOn w:val="751"/>
    <w:next w:val="795"/>
    <w:link w:val="805"/>
    <w:uiPriority w:val="9"/>
    <w:pPr>
      <w:pBdr/>
      <w:spacing/>
      <w:ind/>
    </w:pPr>
    <w:rPr>
      <w:rFonts w:ascii="Arial" w:hAnsi="Arial" w:eastAsia="Arial" w:cs="Arial"/>
      <w:i/>
      <w:iCs/>
      <w:color w:val="365f91"/>
    </w:rPr>
  </w:style>
  <w:style w:type="character" w:styleId="796">
    <w:name w:val="Heading 5 Char"/>
    <w:basedOn w:val="751"/>
    <w:next w:val="796"/>
    <w:link w:val="806"/>
    <w:uiPriority w:val="9"/>
    <w:pPr>
      <w:pBdr/>
      <w:spacing/>
      <w:ind/>
    </w:pPr>
    <w:rPr>
      <w:rFonts w:ascii="Arial" w:hAnsi="Arial" w:eastAsia="Arial" w:cs="Arial"/>
      <w:color w:val="365f91"/>
    </w:rPr>
  </w:style>
  <w:style w:type="character" w:styleId="797">
    <w:name w:val="Heading 6 Char"/>
    <w:basedOn w:val="751"/>
    <w:next w:val="797"/>
    <w:link w:val="807"/>
    <w:uiPriority w:val="9"/>
    <w:pPr>
      <w:pBdr/>
      <w:spacing/>
      <w:ind/>
    </w:pPr>
    <w:rPr>
      <w:rFonts w:ascii="Arial" w:hAnsi="Arial" w:eastAsia="Arial" w:cs="Arial"/>
      <w:i/>
      <w:iCs/>
      <w:color w:val="595959"/>
    </w:rPr>
  </w:style>
  <w:style w:type="character" w:styleId="798">
    <w:name w:val="Heading 7 Char"/>
    <w:basedOn w:val="751"/>
    <w:next w:val="798"/>
    <w:link w:val="808"/>
    <w:uiPriority w:val="9"/>
    <w:pPr>
      <w:pBdr/>
      <w:spacing/>
      <w:ind/>
    </w:pPr>
    <w:rPr>
      <w:rFonts w:ascii="Arial" w:hAnsi="Arial" w:eastAsia="Arial" w:cs="Arial"/>
      <w:color w:val="595959"/>
    </w:rPr>
  </w:style>
  <w:style w:type="character" w:styleId="799">
    <w:name w:val="Heading 8 Char"/>
    <w:basedOn w:val="751"/>
    <w:next w:val="799"/>
    <w:link w:val="809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00">
    <w:name w:val="Heading 9 Char"/>
    <w:basedOn w:val="751"/>
    <w:next w:val="800"/>
    <w:link w:val="810"/>
    <w:uiPriority w:val="9"/>
    <w:pPr>
      <w:pBdr/>
      <w:spacing/>
      <w:ind/>
    </w:pPr>
    <w:rPr>
      <w:rFonts w:ascii="Arial" w:hAnsi="Arial" w:eastAsia="Arial" w:cs="Arial"/>
      <w:i/>
      <w:iCs/>
      <w:color w:val="272727"/>
    </w:rPr>
  </w:style>
  <w:style w:type="character" w:styleId="801">
    <w:name w:val="Title Char"/>
    <w:basedOn w:val="751"/>
    <w:next w:val="801"/>
    <w:link w:val="7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02">
    <w:name w:val="Heading 1"/>
    <w:next w:val="802"/>
    <w:link w:val="926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paragraph" w:styleId="803">
    <w:name w:val="Heading 2"/>
    <w:next w:val="803"/>
    <w:link w:val="927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60"/>
      <w:ind/>
      <w:outlineLvl w:val="1"/>
    </w:pPr>
    <w:rPr>
      <w:rFonts w:ascii="Arial" w:hAnsi="Arial" w:eastAsia="Arial"/>
      <w:sz w:val="34"/>
      <w:szCs w:val="22"/>
      <w:lang w:bidi="ar-SA"/>
    </w:rPr>
  </w:style>
  <w:style w:type="paragraph" w:styleId="804">
    <w:name w:val="Heading 3"/>
    <w:next w:val="804"/>
    <w:link w:val="928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paragraph" w:styleId="805">
    <w:name w:val="Heading 4"/>
    <w:next w:val="805"/>
    <w:link w:val="929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paragraph" w:styleId="806">
    <w:name w:val="Heading 5"/>
    <w:next w:val="806"/>
    <w:link w:val="930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paragraph" w:styleId="807">
    <w:name w:val="Heading 6"/>
    <w:next w:val="807"/>
    <w:link w:val="931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paragraph" w:styleId="808">
    <w:name w:val="Heading 7"/>
    <w:next w:val="808"/>
    <w:link w:val="932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09">
    <w:name w:val="Heading 8"/>
    <w:next w:val="809"/>
    <w:link w:val="933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paragraph" w:styleId="810">
    <w:name w:val="Heading 9"/>
    <w:next w:val="810"/>
    <w:link w:val="934"/>
    <w:pPr>
      <w:keepNext w:val="true"/>
      <w:keepLine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11">
    <w:name w:val="Endnote Text Char"/>
    <w:basedOn w:val="751"/>
    <w:next w:val="811"/>
    <w:link w:val="773"/>
    <w:uiPriority w:val="99"/>
    <w:semiHidden/>
    <w:pPr>
      <w:pBdr/>
      <w:spacing/>
      <w:ind/>
    </w:pPr>
    <w:rPr>
      <w:sz w:val="20"/>
      <w:szCs w:val="20"/>
    </w:rPr>
  </w:style>
  <w:style w:type="character" w:styleId="812">
    <w:name w:val="Название Знак1"/>
    <w:next w:val="812"/>
    <w:link w:val="755"/>
    <w:uiPriority w:val="10"/>
    <w:pPr>
      <w:pBdr/>
      <w:spacing/>
      <w:ind/>
    </w:pPr>
    <w:rPr>
      <w:sz w:val="48"/>
      <w:szCs w:val="48"/>
    </w:rPr>
  </w:style>
  <w:style w:type="character" w:styleId="813">
    <w:name w:val="Subtitle Char"/>
    <w:next w:val="813"/>
    <w:link w:val="750"/>
    <w:uiPriority w:val="11"/>
    <w:pPr>
      <w:pBdr/>
      <w:spacing/>
      <w:ind/>
    </w:pPr>
    <w:rPr>
      <w:sz w:val="24"/>
      <w:szCs w:val="24"/>
    </w:rPr>
  </w:style>
  <w:style w:type="character" w:styleId="814">
    <w:name w:val="Quote Char"/>
    <w:next w:val="814"/>
    <w:link w:val="750"/>
    <w:uiPriority w:val="29"/>
    <w:pPr>
      <w:pBdr/>
      <w:spacing/>
      <w:ind/>
    </w:pPr>
    <w:rPr>
      <w:i/>
    </w:rPr>
  </w:style>
  <w:style w:type="character" w:styleId="815">
    <w:name w:val="Intense Quote Char"/>
    <w:next w:val="815"/>
    <w:link w:val="750"/>
    <w:uiPriority w:val="30"/>
    <w:pPr>
      <w:pBdr/>
      <w:spacing/>
      <w:ind/>
    </w:pPr>
    <w:rPr>
      <w:i/>
    </w:rPr>
  </w:style>
  <w:style w:type="paragraph" w:styleId="816">
    <w:name w:val="Caption1"/>
    <w:next w:val="816"/>
    <w:link w:val="750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17">
    <w:name w:val="Caption Char"/>
    <w:next w:val="817"/>
    <w:link w:val="750"/>
    <w:uiPriority w:val="99"/>
    <w:pPr>
      <w:pBdr/>
      <w:spacing/>
      <w:ind/>
    </w:pPr>
  </w:style>
  <w:style w:type="table" w:styleId="818">
    <w:name w:val="Table Grid Light"/>
    <w:next w:val="818"/>
    <w:link w:val="750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Plain Table 1"/>
    <w:next w:val="819"/>
    <w:link w:val="750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Plain Table 2"/>
    <w:next w:val="820"/>
    <w:link w:val="750"/>
    <w:uiPriority w:val="59"/>
    <w:pPr>
      <w:pBdr/>
      <w:spacing/>
      <w:ind/>
    </w:pPr>
    <w:rPr>
      <w:lang w:val="ru-RU" w:eastAsia="zh-CN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Plain Table 3"/>
    <w:next w:val="82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Plain Table 4"/>
    <w:next w:val="82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Plain Table 5"/>
    <w:next w:val="82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1 Light"/>
    <w:next w:val="82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1 Light - Accent 1"/>
    <w:next w:val="82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1 Light - Accent 2"/>
    <w:next w:val="82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1 Light - Accent 3"/>
    <w:next w:val="82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1 Light - Accent 4"/>
    <w:next w:val="82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1 Light - Accent 5"/>
    <w:next w:val="82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6"/>
    <w:next w:val="83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2"/>
    <w:next w:val="83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2 - Accent 1"/>
    <w:next w:val="83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2 - Accent 2"/>
    <w:next w:val="83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2 - Accent 3"/>
    <w:next w:val="83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2 - Accent 4"/>
    <w:next w:val="83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5"/>
    <w:next w:val="83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6"/>
    <w:next w:val="83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3"/>
    <w:next w:val="83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3 - Accent 1"/>
    <w:next w:val="83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3 - Accent 2"/>
    <w:next w:val="84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3 - Accent 3"/>
    <w:next w:val="84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4"/>
    <w:next w:val="84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5"/>
    <w:next w:val="84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6"/>
    <w:next w:val="84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4"/>
    <w:next w:val="845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4 - Accent 1"/>
    <w:next w:val="846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4 - Accent 2"/>
    <w:next w:val="847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3"/>
    <w:next w:val="848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4"/>
    <w:next w:val="849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5"/>
    <w:next w:val="850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6"/>
    <w:next w:val="851"/>
    <w:link w:val="750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5 Dark"/>
    <w:next w:val="85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5 Dark- Accent 1"/>
    <w:next w:val="85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next w:val="85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next w:val="85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- Accent 4"/>
    <w:next w:val="85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5"/>
    <w:next w:val="85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5 Dark - Accent 6"/>
    <w:next w:val="85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6 Colorful"/>
    <w:next w:val="85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6 Colorful - Accent 1"/>
    <w:next w:val="86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6 Colorful - Accent 2"/>
    <w:next w:val="86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6 Colorful - Accent 3"/>
    <w:next w:val="86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6 Colorful - Accent 4"/>
    <w:next w:val="86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6 Colorful - Accent 5"/>
    <w:next w:val="86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6 Colorful - Accent 6"/>
    <w:next w:val="86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"/>
    <w:next w:val="86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1"/>
    <w:next w:val="86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2"/>
    <w:next w:val="86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3"/>
    <w:next w:val="86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7 Colorful - Accent 4"/>
    <w:next w:val="87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7 Colorful - Accent 5"/>
    <w:next w:val="87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7 Colorful - Accent 6"/>
    <w:next w:val="87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"/>
    <w:next w:val="87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1"/>
    <w:next w:val="87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2"/>
    <w:next w:val="87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1 Light - Accent 3"/>
    <w:next w:val="87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1 Light - Accent 4"/>
    <w:next w:val="87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1 Light - Accent 5"/>
    <w:next w:val="87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1 Light - Accent 6"/>
    <w:next w:val="87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"/>
    <w:next w:val="88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1"/>
    <w:next w:val="88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2 - Accent 2"/>
    <w:next w:val="88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2 - Accent 3"/>
    <w:next w:val="88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2 - Accent 4"/>
    <w:next w:val="88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2 - Accent 5"/>
    <w:next w:val="88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2 - Accent 6"/>
    <w:next w:val="88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"/>
    <w:next w:val="88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3 - Accent 1"/>
    <w:next w:val="88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3 - Accent 2"/>
    <w:next w:val="88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3 - Accent 3"/>
    <w:next w:val="89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3 - Accent 4"/>
    <w:next w:val="89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3 - Accent 5"/>
    <w:next w:val="89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3 - Accent 6"/>
    <w:next w:val="89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4"/>
    <w:next w:val="89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4 - Accent 1"/>
    <w:next w:val="89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4 - Accent 2"/>
    <w:next w:val="89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4 - Accent 3"/>
    <w:next w:val="89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4 - Accent 4"/>
    <w:next w:val="89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4 - Accent 5"/>
    <w:next w:val="89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4 - Accent 6"/>
    <w:next w:val="90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5 Dark"/>
    <w:next w:val="90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5 Dark - Accent 1"/>
    <w:next w:val="90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5 Dark - Accent 2"/>
    <w:next w:val="90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5 Dark - Accent 3"/>
    <w:next w:val="90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5 Dark - Accent 4"/>
    <w:next w:val="90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5 Dark - Accent 5"/>
    <w:next w:val="90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5 Dark - Accent 6"/>
    <w:next w:val="90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6 Colorful"/>
    <w:next w:val="90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6 Colorful - Accent 1"/>
    <w:next w:val="90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6 Colorful - Accent 2"/>
    <w:next w:val="91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6 Colorful - Accent 3"/>
    <w:next w:val="91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6 Colorful - Accent 4"/>
    <w:next w:val="912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6 Colorful - Accent 5"/>
    <w:next w:val="913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6 Colorful - Accent 6"/>
    <w:next w:val="914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7 Colorful"/>
    <w:next w:val="915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7 Colorful - Accent 1"/>
    <w:next w:val="916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7 Colorful - Accent 2"/>
    <w:next w:val="917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7 Colorful - Accent 3"/>
    <w:next w:val="918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7 Colorful - Accent 4"/>
    <w:next w:val="919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7 Colorful - Accent 5"/>
    <w:next w:val="920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7 Colorful - Accent 6"/>
    <w:next w:val="921"/>
    <w:link w:val="750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 - Accent"/>
    <w:next w:val="922"/>
    <w:link w:val="75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"/>
    <w:next w:val="923"/>
    <w:link w:val="750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0" w:type="dxa"/>
        <w:top w:w="0" w:type="dxa"/>
        <w:right w:w="0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4">
    <w:name w:val="Footnote Text Char"/>
    <w:next w:val="924"/>
    <w:link w:val="750"/>
    <w:uiPriority w:val="99"/>
    <w:pPr>
      <w:pBdr/>
      <w:spacing/>
      <w:ind/>
    </w:pPr>
    <w:rPr>
      <w:sz w:val="18"/>
    </w:rPr>
  </w:style>
  <w:style w:type="character" w:styleId="925">
    <w:name w:val="Текст концевой сноски Знак"/>
    <w:next w:val="925"/>
    <w:link w:val="773"/>
    <w:uiPriority w:val="99"/>
    <w:semiHidden/>
    <w:pPr>
      <w:pBdr/>
      <w:spacing/>
      <w:ind/>
    </w:pPr>
    <w:rPr>
      <w:lang w:val="ru-RU" w:eastAsia="zh-CN" w:bidi="ar-SA"/>
    </w:rPr>
  </w:style>
  <w:style w:type="character" w:styleId="926">
    <w:name w:val="Заголовок 1 Знак"/>
    <w:next w:val="926"/>
    <w:link w:val="802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927">
    <w:name w:val="Заголовок 2 Знак"/>
    <w:next w:val="927"/>
    <w:link w:val="803"/>
    <w:pPr>
      <w:pBdr/>
      <w:spacing/>
      <w:ind/>
    </w:pPr>
    <w:rPr>
      <w:rFonts w:ascii="Arial" w:hAnsi="Arial" w:eastAsia="Arial"/>
      <w:sz w:val="34"/>
      <w:szCs w:val="22"/>
      <w:lang w:bidi="ar-SA"/>
    </w:rPr>
  </w:style>
  <w:style w:type="character" w:styleId="928">
    <w:name w:val="Заголовок 3 Знак"/>
    <w:next w:val="928"/>
    <w:link w:val="804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character" w:styleId="929">
    <w:name w:val="Заголовок 4 Знак"/>
    <w:next w:val="929"/>
    <w:link w:val="805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character" w:styleId="930">
    <w:name w:val="Заголовок 5 Знак"/>
    <w:next w:val="930"/>
    <w:link w:val="806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character" w:styleId="931">
    <w:name w:val="Заголовок 6 Знак"/>
    <w:next w:val="931"/>
    <w:link w:val="807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character" w:styleId="932">
    <w:name w:val="Заголовок 7 Знак1"/>
    <w:next w:val="932"/>
    <w:link w:val="808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33">
    <w:name w:val="Заголовок 8 Знак"/>
    <w:next w:val="933"/>
    <w:link w:val="80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character" w:styleId="934">
    <w:name w:val="Заголовок 9 Знак"/>
    <w:next w:val="934"/>
    <w:link w:val="810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935">
    <w:name w:val="Название Знак"/>
    <w:next w:val="935"/>
    <w:link w:val="976"/>
    <w:uiPriority w:val="10"/>
    <w:pPr>
      <w:pBdr/>
      <w:spacing/>
      <w:ind/>
    </w:pPr>
    <w:rPr>
      <w:sz w:val="48"/>
      <w:szCs w:val="48"/>
      <w:lang w:bidi="ar-SA"/>
    </w:rPr>
  </w:style>
  <w:style w:type="character" w:styleId="936">
    <w:name w:val="Подзаголовок Знак"/>
    <w:next w:val="936"/>
    <w:link w:val="756"/>
    <w:uiPriority w:val="11"/>
    <w:pPr>
      <w:pBdr/>
      <w:spacing/>
      <w:ind/>
    </w:pPr>
    <w:rPr>
      <w:sz w:val="24"/>
      <w:szCs w:val="24"/>
      <w:lang w:bidi="ar-SA"/>
    </w:rPr>
  </w:style>
  <w:style w:type="character" w:styleId="937">
    <w:name w:val="Цитата 2 Знак"/>
    <w:next w:val="937"/>
    <w:link w:val="757"/>
    <w:uiPriority w:val="29"/>
    <w:pPr>
      <w:pBdr/>
      <w:spacing/>
      <w:ind/>
    </w:pPr>
    <w:rPr>
      <w:i/>
      <w:lang w:val="ru-RU" w:eastAsia="zh-CN" w:bidi="ar-SA"/>
    </w:rPr>
  </w:style>
  <w:style w:type="character" w:styleId="938">
    <w:name w:val="Выделенная цитата Знак"/>
    <w:next w:val="938"/>
    <w:link w:val="760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character" w:styleId="939">
    <w:name w:val="Header Char"/>
    <w:next w:val="939"/>
    <w:link w:val="750"/>
    <w:pPr>
      <w:pBdr/>
      <w:spacing/>
      <w:ind/>
    </w:pPr>
    <w:rPr>
      <w:sz w:val="22"/>
      <w:szCs w:val="22"/>
      <w:lang w:val="uk-UA" w:eastAsia="en-US" w:bidi="en-US"/>
    </w:rPr>
  </w:style>
  <w:style w:type="character" w:styleId="940">
    <w:name w:val="Footer Char"/>
    <w:next w:val="940"/>
    <w:link w:val="750"/>
    <w:pPr>
      <w:pBdr/>
      <w:spacing/>
      <w:ind/>
    </w:pPr>
    <w:rPr>
      <w:sz w:val="22"/>
      <w:szCs w:val="22"/>
      <w:lang w:val="uk-UA" w:eastAsia="en-US" w:bidi="en-US"/>
    </w:rPr>
  </w:style>
  <w:style w:type="table" w:styleId="941">
    <w:name w:val="Lined"/>
    <w:next w:val="941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ned - Accent 1"/>
    <w:next w:val="942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ned - Accent 2"/>
    <w:next w:val="943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ned - Accent 3"/>
    <w:next w:val="944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ned - Accent 4"/>
    <w:next w:val="945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ned - Accent 5"/>
    <w:next w:val="946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ned - Accent 6"/>
    <w:next w:val="947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"/>
    <w:next w:val="948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1"/>
    <w:next w:val="949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2"/>
    <w:next w:val="950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3"/>
    <w:next w:val="951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4"/>
    <w:next w:val="952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5"/>
    <w:next w:val="953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Bordered - Accent 6"/>
    <w:next w:val="954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en-US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Bordered &amp; Lined"/>
    <w:next w:val="955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 &amp; Lined - Accent 1"/>
    <w:next w:val="956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&amp; Lined - Accent 2"/>
    <w:next w:val="957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&amp; Lined - Accent 3"/>
    <w:next w:val="958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&amp; Lined - Accent 4"/>
    <w:next w:val="959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&amp; Lined - Accent 5"/>
    <w:next w:val="960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&amp; Lined - Accent 6"/>
    <w:next w:val="961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color w:val="404040"/>
      <w:lang w:val="ru-RU" w:eastAsia="ru-RU" w:bidi="ar-SA"/>
    </w:rPr>
    <w:tblPr>
      <w:tblW w:w="0" w:type="auto"/>
      <w:tblCellMar>
        <w:left w:w="0" w:type="dxa"/>
        <w:top w:w="0" w:type="dxa"/>
        <w:right w:w="0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2">
    <w:name w:val="Текст сноски Знак"/>
    <w:next w:val="962"/>
    <w:link w:val="771"/>
    <w:uiPriority w:val="99"/>
    <w:semiHidden/>
    <w:pPr>
      <w:pBdr/>
      <w:spacing/>
      <w:ind/>
    </w:pPr>
    <w:rPr>
      <w:sz w:val="18"/>
      <w:lang w:bidi="ar-SA"/>
    </w:rPr>
  </w:style>
  <w:style w:type="character" w:styleId="963">
    <w:name w:val="WW8Num3z0"/>
    <w:next w:val="963"/>
    <w:link w:val="750"/>
    <w:pPr>
      <w:pBdr/>
      <w:spacing/>
      <w:ind/>
    </w:pPr>
    <w:rPr>
      <w:rFonts w:ascii="OpenSymbol" w:hAnsi="OpenSymbol"/>
    </w:rPr>
  </w:style>
  <w:style w:type="character" w:styleId="964">
    <w:name w:val="Основной шрифт абзаца2"/>
    <w:next w:val="964"/>
    <w:link w:val="750"/>
    <w:pPr>
      <w:pBdr/>
      <w:spacing/>
      <w:ind/>
    </w:pPr>
  </w:style>
  <w:style w:type="character" w:styleId="965">
    <w:name w:val="Основной шрифт абзаца1"/>
    <w:next w:val="965"/>
    <w:link w:val="750"/>
    <w:pPr>
      <w:pBdr/>
      <w:spacing/>
      <w:ind/>
    </w:pPr>
  </w:style>
  <w:style w:type="character" w:styleId="966">
    <w:name w:val="Absatz-Standardschriftart"/>
    <w:next w:val="966"/>
    <w:link w:val="750"/>
    <w:pPr>
      <w:pBdr/>
      <w:spacing/>
      <w:ind/>
    </w:pPr>
  </w:style>
  <w:style w:type="character" w:styleId="967">
    <w:name w:val="Символ нумерации"/>
    <w:next w:val="967"/>
    <w:link w:val="750"/>
    <w:pPr>
      <w:pBdr/>
      <w:spacing/>
      <w:ind/>
    </w:pPr>
  </w:style>
  <w:style w:type="paragraph" w:styleId="968">
    <w:name w:val="Основной текст"/>
    <w:basedOn w:val="750"/>
    <w:next w:val="968"/>
    <w:link w:val="750"/>
    <w:pPr>
      <w:pBdr/>
      <w:spacing w:after="120"/>
      <w:ind/>
    </w:pPr>
  </w:style>
  <w:style w:type="paragraph" w:styleId="969">
    <w:name w:val="Список"/>
    <w:basedOn w:val="968"/>
    <w:next w:val="969"/>
    <w:link w:val="750"/>
    <w:pPr>
      <w:pBdr/>
      <w:spacing/>
      <w:ind/>
    </w:pPr>
  </w:style>
  <w:style w:type="paragraph" w:styleId="970">
    <w:name w:val="Название3"/>
    <w:basedOn w:val="750"/>
    <w:next w:val="970"/>
    <w:link w:val="750"/>
    <w:pPr>
      <w:pBdr/>
      <w:spacing w:after="120" w:before="120"/>
      <w:ind/>
    </w:pPr>
    <w:rPr>
      <w:i/>
      <w:iCs/>
      <w:sz w:val="24"/>
      <w:szCs w:val="24"/>
    </w:rPr>
  </w:style>
  <w:style w:type="paragraph" w:styleId="971">
    <w:name w:val="Указатель3"/>
    <w:basedOn w:val="750"/>
    <w:next w:val="971"/>
    <w:link w:val="750"/>
    <w:pPr>
      <w:pBdr/>
      <w:spacing/>
      <w:ind/>
    </w:pPr>
  </w:style>
  <w:style w:type="paragraph" w:styleId="972">
    <w:name w:val="Название2"/>
    <w:basedOn w:val="750"/>
    <w:next w:val="972"/>
    <w:link w:val="750"/>
    <w:pPr>
      <w:pBdr/>
      <w:spacing w:after="120" w:before="120"/>
      <w:ind/>
    </w:pPr>
    <w:rPr>
      <w:i/>
      <w:iCs/>
      <w:sz w:val="24"/>
      <w:szCs w:val="24"/>
    </w:rPr>
  </w:style>
  <w:style w:type="paragraph" w:styleId="973">
    <w:name w:val="Указатель2"/>
    <w:basedOn w:val="750"/>
    <w:next w:val="973"/>
    <w:link w:val="750"/>
    <w:pPr>
      <w:pBdr/>
      <w:spacing/>
      <w:ind/>
    </w:pPr>
  </w:style>
  <w:style w:type="paragraph" w:styleId="974">
    <w:name w:val="Название объекта1"/>
    <w:basedOn w:val="750"/>
    <w:next w:val="974"/>
    <w:link w:val="750"/>
    <w:pPr>
      <w:pBdr/>
      <w:spacing w:after="120" w:before="120"/>
      <w:ind/>
    </w:pPr>
    <w:rPr>
      <w:i/>
      <w:iCs/>
      <w:sz w:val="24"/>
      <w:szCs w:val="24"/>
    </w:rPr>
  </w:style>
  <w:style w:type="paragraph" w:styleId="975">
    <w:name w:val="Покажчик"/>
    <w:basedOn w:val="750"/>
    <w:next w:val="975"/>
    <w:link w:val="750"/>
    <w:pPr>
      <w:pBdr/>
      <w:spacing/>
      <w:ind/>
    </w:pPr>
  </w:style>
  <w:style w:type="paragraph" w:styleId="976">
    <w:name w:val="Название1"/>
    <w:basedOn w:val="750"/>
    <w:next w:val="976"/>
    <w:link w:val="935"/>
    <w:uiPriority w:val="10"/>
    <w:pPr>
      <w:pBdr/>
      <w:spacing w:after="120" w:before="120"/>
      <w:ind/>
    </w:pPr>
    <w:rPr>
      <w:sz w:val="48"/>
      <w:szCs w:val="48"/>
      <w:lang w:val="en-US" w:eastAsia="en-US"/>
    </w:rPr>
  </w:style>
  <w:style w:type="paragraph" w:styleId="977">
    <w:name w:val="Указатель1"/>
    <w:basedOn w:val="750"/>
    <w:next w:val="977"/>
    <w:link w:val="750"/>
    <w:pPr>
      <w:pBdr/>
      <w:spacing/>
      <w:ind/>
    </w:pPr>
  </w:style>
  <w:style w:type="paragraph" w:styleId="978">
    <w:name w:val="„O„ƒ„~„€„r„~„€„z „„„u„[„ƒ„„"/>
    <w:basedOn w:val="750"/>
    <w:next w:val="978"/>
    <w:link w:val="750"/>
    <w:pPr>
      <w:pBdr/>
      <w:spacing w:after="120"/>
      <w:ind/>
    </w:pPr>
  </w:style>
  <w:style w:type="paragraph" w:styleId="979">
    <w:name w:val="„R„„y„ƒ„€„["/>
    <w:basedOn w:val="978"/>
    <w:next w:val="979"/>
    <w:link w:val="750"/>
    <w:pPr>
      <w:pBdr/>
      <w:spacing/>
      <w:ind/>
    </w:pPr>
  </w:style>
  <w:style w:type="paragraph" w:styleId="980">
    <w:name w:val="„N„p„x„r„p„~„y„u"/>
    <w:basedOn w:val="750"/>
    <w:next w:val="980"/>
    <w:link w:val="750"/>
    <w:pPr>
      <w:pBdr/>
      <w:spacing w:after="120" w:before="120"/>
      <w:ind/>
    </w:pPr>
    <w:rPr>
      <w:i/>
      <w:iCs/>
      <w:sz w:val="24"/>
      <w:szCs w:val="24"/>
    </w:rPr>
  </w:style>
  <w:style w:type="paragraph" w:styleId="981">
    <w:name w:val="„T„[„p„x„p„„„u„|„Ž"/>
    <w:basedOn w:val="750"/>
    <w:next w:val="981"/>
    <w:link w:val="750"/>
    <w:pPr>
      <w:pBdr/>
      <w:spacing/>
      <w:ind/>
    </w:pPr>
  </w:style>
  <w:style w:type="paragraph" w:styleId="982">
    <w:name w:val="„R„€„t„u„‚„w„y„]„€„u „„„p„q„|„y„ˆ„"/>
    <w:basedOn w:val="750"/>
    <w:next w:val="982"/>
    <w:link w:val="750"/>
    <w:pPr>
      <w:pBdr/>
      <w:spacing/>
      <w:ind/>
    </w:pPr>
  </w:style>
  <w:style w:type="paragraph" w:styleId="983">
    <w:name w:val="„H„p„s„€„|„€„r„€„[ „„„p„q„|„y„ˆ„"/>
    <w:basedOn w:val="982"/>
    <w:next w:val="983"/>
    <w:link w:val="750"/>
    <w:pPr>
      <w:pBdr/>
      <w:spacing/>
      <w:ind/>
      <w:jc w:val="center"/>
    </w:pPr>
    <w:rPr>
      <w:b/>
      <w:bCs/>
    </w:rPr>
  </w:style>
  <w:style w:type="paragraph" w:styleId="984">
    <w:name w:val="Вміст таблиці"/>
    <w:basedOn w:val="750"/>
    <w:next w:val="984"/>
    <w:link w:val="750"/>
    <w:pPr>
      <w:pBdr/>
      <w:spacing/>
      <w:ind/>
    </w:pPr>
  </w:style>
  <w:style w:type="paragraph" w:styleId="985">
    <w:name w:val="Заголовок таблиці"/>
    <w:basedOn w:val="984"/>
    <w:next w:val="985"/>
    <w:link w:val="750"/>
    <w:pPr>
      <w:pBdr/>
      <w:spacing/>
      <w:ind/>
      <w:jc w:val="center"/>
    </w:pPr>
    <w:rPr>
      <w:b/>
      <w:bCs/>
    </w:rPr>
  </w:style>
  <w:style w:type="paragraph" w:styleId="986">
    <w:name w:val="Содержимое таблицы"/>
    <w:basedOn w:val="750"/>
    <w:next w:val="986"/>
    <w:link w:val="750"/>
    <w:pPr>
      <w:pBdr/>
      <w:spacing/>
      <w:ind/>
    </w:pPr>
  </w:style>
  <w:style w:type="paragraph" w:styleId="987">
    <w:name w:val="Заголовок таблицы"/>
    <w:basedOn w:val="986"/>
    <w:next w:val="987"/>
    <w:link w:val="750"/>
    <w:pPr>
      <w:pBdr/>
      <w:spacing/>
      <w:ind/>
      <w:jc w:val="center"/>
    </w:pPr>
    <w:rPr>
      <w:b/>
      <w:bCs/>
    </w:rPr>
  </w:style>
  <w:style w:type="character" w:styleId="988">
    <w:name w:val="Заголовок 7 Знак"/>
    <w:next w:val="988"/>
    <w:link w:val="750"/>
    <w:pPr>
      <w:pBdr/>
      <w:spacing/>
      <w:ind/>
    </w:pPr>
    <w:rPr>
      <w:rFonts w:ascii="Calibri" w:hAnsi="Calibri" w:eastAsia="Times New Roman"/>
      <w:sz w:val="24"/>
      <w:szCs w:val="21"/>
      <w:lang w:val="ru-RU" w:eastAsia="hi-IN" w:bidi="hi-IN"/>
    </w:rPr>
  </w:style>
  <w:style w:type="character" w:styleId="989">
    <w:name w:val="Без интервала Знак"/>
    <w:next w:val="989"/>
    <w:link w:val="762"/>
    <w:pPr>
      <w:pBdr/>
      <w:spacing/>
      <w:ind/>
    </w:pPr>
    <w:rPr>
      <w:sz w:val="28"/>
      <w:szCs w:val="28"/>
      <w:lang w:eastAsia="ru-RU" w:bidi="ar-SA"/>
    </w:rPr>
  </w:style>
  <w:style w:type="table" w:styleId="990">
    <w:name w:val="Сетка таблицы1"/>
    <w:basedOn w:val="752"/>
    <w:next w:val="754"/>
    <w:link w:val="750"/>
    <w:pPr>
      <w:pBdr/>
      <w:spacing/>
      <w:ind/>
    </w:pPr>
    <w:rPr>
      <w:rFonts w:ascii="Calibri" w:hAnsi="Calibri"/>
      <w:sz w:val="22"/>
      <w:szCs w:val="22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1">
    <w:name w:val="Текст выноски"/>
    <w:basedOn w:val="750"/>
    <w:next w:val="991"/>
    <w:link w:val="992"/>
    <w:semiHidden/>
    <w:pPr>
      <w:pBdr/>
      <w:spacing/>
      <w:ind/>
    </w:pPr>
    <w:rPr>
      <w:rFonts w:ascii="Segoe UI" w:hAnsi="Segoe UI" w:eastAsia="Droid Sans"/>
      <w:sz w:val="18"/>
      <w:szCs w:val="16"/>
      <w:lang w:eastAsia="hi-IN" w:bidi="hi-IN"/>
    </w:rPr>
  </w:style>
  <w:style w:type="character" w:styleId="992">
    <w:name w:val="Текст выноски Знак"/>
    <w:next w:val="992"/>
    <w:link w:val="991"/>
    <w:semiHidden/>
    <w:pPr>
      <w:pBdr/>
      <w:spacing/>
      <w:ind/>
    </w:pPr>
    <w:rPr>
      <w:rFonts w:ascii="Segoe UI" w:hAnsi="Segoe UI" w:eastAsia="Droid Sans"/>
      <w:sz w:val="18"/>
      <w:szCs w:val="16"/>
      <w:lang w:val="ru-RU" w:eastAsia="hi-IN" w:bidi="hi-IN"/>
    </w:rPr>
  </w:style>
  <w:style w:type="paragraph" w:styleId="993">
    <w:name w:val="Обычный1"/>
    <w:next w:val="993"/>
    <w:link w:val="750"/>
    <w:pPr>
      <w:pBdr/>
      <w:spacing/>
      <w:ind/>
    </w:pPr>
    <w:rPr>
      <w:lang w:val="ru-RU" w:eastAsia="zh-CN" w:bidi="ar-SA"/>
    </w:rPr>
  </w:style>
  <w:style w:type="paragraph" w:styleId="994">
    <w:name w:val="Основной текст с отступом"/>
    <w:basedOn w:val="750"/>
    <w:next w:val="994"/>
    <w:link w:val="995"/>
    <w:semiHidden/>
    <w:pPr>
      <w:pBdr/>
      <w:spacing w:after="120"/>
      <w:ind w:left="283"/>
    </w:pPr>
  </w:style>
  <w:style w:type="character" w:styleId="995">
    <w:name w:val="Основной текст с отступом Знак"/>
    <w:basedOn w:val="751"/>
    <w:next w:val="995"/>
    <w:link w:val="994"/>
    <w:semiHidden/>
    <w:pPr>
      <w:pBdr/>
      <w:spacing/>
      <w:ind/>
    </w:pPr>
    <w:rPr>
      <w:sz w:val="22"/>
      <w:szCs w:val="22"/>
      <w:lang w:val="uk-UA" w:eastAsia="en-US" w:bidi="en-US"/>
    </w:rPr>
  </w:style>
  <w:style w:type="character" w:styleId="996">
    <w:name w:val="rvts23"/>
    <w:basedOn w:val="751"/>
    <w:next w:val="996"/>
    <w:link w:val="750"/>
    <w:pPr>
      <w:pBdr/>
      <w:spacing/>
      <w:ind/>
    </w:pPr>
  </w:style>
  <w:style w:type="paragraph" w:styleId="997">
    <w:name w:val="Header1"/>
    <w:basedOn w:val="750"/>
    <w:next w:val="997"/>
    <w:link w:val="998"/>
    <w:pPr>
      <w:pBdr/>
      <w:tabs>
        <w:tab w:val="center" w:leader="none" w:pos="4677"/>
        <w:tab w:val="right" w:leader="none" w:pos="9355"/>
      </w:tabs>
      <w:spacing/>
      <w:ind/>
    </w:pPr>
    <w:rPr>
      <w:sz w:val="22"/>
      <w:szCs w:val="22"/>
      <w:lang w:val="uk-UA" w:eastAsia="en-US" w:bidi="en-US"/>
    </w:rPr>
  </w:style>
  <w:style w:type="character" w:styleId="998">
    <w:name w:val="Верхний колонтитул Знак"/>
    <w:basedOn w:val="751"/>
    <w:next w:val="998"/>
    <w:link w:val="997"/>
    <w:pPr>
      <w:pBdr/>
      <w:spacing/>
      <w:ind/>
    </w:pPr>
    <w:rPr>
      <w:sz w:val="22"/>
      <w:szCs w:val="22"/>
      <w:lang w:val="uk-UA" w:eastAsia="en-US" w:bidi="en-US"/>
    </w:rPr>
  </w:style>
  <w:style w:type="paragraph" w:styleId="999">
    <w:name w:val="Footer1"/>
    <w:basedOn w:val="750"/>
    <w:next w:val="999"/>
    <w:link w:val="1000"/>
    <w:semiHidden/>
    <w:pPr>
      <w:pBdr/>
      <w:tabs>
        <w:tab w:val="center" w:leader="none" w:pos="4677"/>
        <w:tab w:val="right" w:leader="none" w:pos="9355"/>
      </w:tabs>
      <w:spacing/>
      <w:ind/>
    </w:pPr>
    <w:rPr>
      <w:sz w:val="22"/>
      <w:szCs w:val="22"/>
      <w:lang w:val="uk-UA" w:eastAsia="en-US" w:bidi="en-US"/>
    </w:rPr>
  </w:style>
  <w:style w:type="character" w:styleId="1000">
    <w:name w:val="Нижний колонтитул Знак"/>
    <w:basedOn w:val="751"/>
    <w:next w:val="1000"/>
    <w:link w:val="999"/>
    <w:semiHidden/>
    <w:pPr>
      <w:pBdr/>
      <w:spacing/>
      <w:ind/>
    </w:pPr>
    <w:rPr>
      <w:sz w:val="22"/>
      <w:szCs w:val="22"/>
      <w:lang w:val="uk-UA" w:eastAsia="en-US" w:bidi="en-US"/>
    </w:rPr>
  </w:style>
  <w:style w:type="character" w:styleId="1001">
    <w:name w:val="Основной текст (3)"/>
    <w:next w:val="1001"/>
    <w:link w:val="750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paragraph" w:styleId="1002">
    <w:name w:val="Обычный (веб)"/>
    <w:basedOn w:val="750"/>
    <w:next w:val="1002"/>
    <w:link w:val="750"/>
    <w:uiPriority w:val="99"/>
    <w:semiHidden/>
    <w:unhideWhenUsed/>
    <w:pPr>
      <w:pBdr/>
      <w:spacing w:after="100" w:afterAutospacing="1" w:before="100" w:beforeAutospacing="1"/>
      <w:ind/>
    </w:pPr>
    <w:rPr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Єкименко Ірина Валеріївна</cp:lastModifiedBy>
  <cp:revision>6</cp:revision>
  <dcterms:created xsi:type="dcterms:W3CDTF">2026-04-16T13:18:00Z</dcterms:created>
  <dcterms:modified xsi:type="dcterms:W3CDTF">2026-04-17T12:02:54Z</dcterms:modified>
  <cp:version>786432</cp:version>
</cp:coreProperties>
</file>