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576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/>
          <w:sz w:val="28"/>
          <w:szCs w:val="28"/>
        </w:rPr>
        <w:t xml:space="preserve">72</w:t>
      </w:r>
      <w:r>
        <w:rPr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ru-RU"/>
        </w:rPr>
        <w:t xml:space="preserve">17 </w:t>
      </w:r>
      <w:r>
        <w:rPr>
          <w:bCs/>
          <w:color w:val="000000"/>
          <w:sz w:val="28"/>
          <w:szCs w:val="28"/>
        </w:rPr>
        <w:t xml:space="preserve">квітня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bCs/>
          <w:color w:val="000000"/>
          <w:sz w:val="28"/>
          <w:szCs w:val="28"/>
        </w:rPr>
        <w:t xml:space="preserve">211</w:t>
      </w:r>
      <w:r>
        <w:rPr>
          <w:bCs/>
          <w:color w:val="000000"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/>
      <w:bookmarkStart w:id="0" w:name="_Hlk155702611"/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ро виконання Програми охорони та збереження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культурної спадщини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території Менської міської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територіальної громади на 2025-2027 роки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рік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Програма</w:t>
      </w:r>
      <w:r>
        <w:rPr>
          <w:sz w:val="28"/>
          <w:szCs w:val="28"/>
        </w:rPr>
        <w:t xml:space="preserve"> охорони та збереження культурної спадщини на території Менської міської територіальної громади на 2025-2027 роки</w:t>
      </w:r>
      <w:r>
        <w:rPr>
          <w:sz w:val="28"/>
          <w:szCs w:val="28"/>
        </w:rPr>
        <w:t xml:space="preserve"> була затвердження рішенням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 сесії 8 скликання від 19.12.2024 року № 738.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Менської міської територіальної громади розташовано 2 пам’ятки архео</w:t>
      </w:r>
      <w:r>
        <w:rPr>
          <w:sz w:val="28"/>
          <w:szCs w:val="28"/>
        </w:rPr>
        <w:t xml:space="preserve">логії національного значення Чернігівської області, занесених до Держвного реєстру нерухомих пам’яток України (далі - Держреєстр), 72 пам’ятки археології місцевого значення Чернігівської області, не занесених до Держреєстру, 46 щойно виявлених археологічни</w:t>
      </w:r>
      <w:r>
        <w:rPr>
          <w:sz w:val="28"/>
          <w:szCs w:val="28"/>
        </w:rPr>
        <w:t xml:space="preserve">х об’єктів культурної спадщини Чернігівської області, 64 пам’ятки історії та монументального мистецтва, 15 щойновиявлених історичних об’єктів культурної спадщини, 2 пам’ятки історії та монументального мистецтва Чернігівської області, взятих на державний об</w:t>
      </w:r>
      <w:r>
        <w:rPr>
          <w:sz w:val="28"/>
          <w:szCs w:val="28"/>
        </w:rPr>
        <w:t xml:space="preserve">лік та не занесених до Держреєстру. Також на території громади розташовано 3 пам’ятки архітектури і містобудування, садово-паркового мистецтва місцевого значення та 5 пам’яток архітектури і містобудування, садово-паркового мистецтва національного значення.</w:t>
      </w:r>
      <w:r>
        <w:rPr>
          <w:sz w:val="28"/>
          <w:szCs w:val="28"/>
        </w:rPr>
        <w:t xml:space="preserve"> Всього – 209</w:t>
      </w:r>
      <w:r>
        <w:rPr>
          <w:sz w:val="28"/>
          <w:szCs w:val="28"/>
        </w:rPr>
        <w:t xml:space="preserve"> об’єктів культурної спадщини.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Одними із основних заходів реалізації Програми є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безпечення утримання та збереження</w:t>
      </w:r>
      <w:r>
        <w:rPr>
          <w:sz w:val="28"/>
          <w:szCs w:val="28"/>
        </w:rPr>
        <w:t xml:space="preserve"> пам'яток культурної спадщ</w:t>
      </w:r>
      <w:r>
        <w:rPr>
          <w:sz w:val="28"/>
          <w:szCs w:val="28"/>
        </w:rPr>
        <w:t xml:space="preserve">ини та щойно виявлених об'єктів;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абезпечення відновлення матеріально-технічної бази та покращення технічного переоснащення пам'яток культурної спадщини та щойно виявлених об'єктів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емонтаж та заміна на пам’ятках та об'єктах культурної спадщини, вилучення елементів радянської символіки на пам’ятках культурної спадщини, які пі</w:t>
      </w:r>
      <w:r>
        <w:rPr>
          <w:sz w:val="28"/>
          <w:szCs w:val="28"/>
        </w:rPr>
        <w:t xml:space="preserve">длягають вилученню згідно з ЗУ “</w:t>
      </w:r>
      <w:r>
        <w:rPr>
          <w:sz w:val="28"/>
          <w:szCs w:val="28"/>
        </w:rPr>
        <w:t xml:space="preserve">Про засудження комуністичного та націонал-соціалістичного (нацистського) тоталітарних режимів в Україні та забор</w:t>
      </w:r>
      <w:r>
        <w:rPr>
          <w:sz w:val="28"/>
          <w:szCs w:val="28"/>
        </w:rPr>
        <w:t xml:space="preserve">ону пропаганди їхньої символіки”, “</w:t>
      </w:r>
      <w:r>
        <w:rPr>
          <w:sz w:val="28"/>
          <w:szCs w:val="28"/>
        </w:rPr>
        <w:t xml:space="preserve">Про засудження та заборону пропаганди російської імперської політики в Ук</w:t>
      </w:r>
      <w:r>
        <w:rPr>
          <w:sz w:val="28"/>
          <w:szCs w:val="28"/>
        </w:rPr>
        <w:t xml:space="preserve">раїні і деколонізацію топонімії”;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пам’ятних знаків і меморіальних дошок Героям, загиблим у російсько-українській війні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рганізація робіт із благоустрою та ремонту пам’яток, об’єктів культурної спадщини, які розташовані в населених пунктах громади та поза їх межами;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умов для поліпшення туристичної привабливості громади;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сприяння залученню інвестицій у діяльність щодо збереження, реставрації та використання пам’яток і об’єктів культурної спадщини, які розташовані в громаді;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повноти й доступності інформації про пам’ятки та об’є</w:t>
      </w:r>
      <w:r>
        <w:rPr>
          <w:sz w:val="28"/>
          <w:szCs w:val="28"/>
        </w:rPr>
        <w:t xml:space="preserve">кти культурної спадщини громади.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1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2025 році було профінансовано два заходи </w:t>
      </w:r>
      <w:r>
        <w:rPr>
          <w:sz w:val="28"/>
          <w:szCs w:val="28"/>
        </w:rPr>
        <w:t xml:space="preserve">Програми</w:t>
      </w:r>
      <w:r>
        <w:rPr>
          <w:sz w:val="28"/>
          <w:szCs w:val="28"/>
        </w:rPr>
        <w:t xml:space="preserve"> охорони та збереження культурної спадщини на території Менської міської територіальної громади на 2025-2027 роки</w:t>
      </w:r>
      <w:r>
        <w:rPr>
          <w:sz w:val="28"/>
          <w:szCs w:val="28"/>
        </w:rPr>
        <w:t xml:space="preserve"> на суму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25 000.00 грн</w:t>
      </w:r>
      <w:r>
        <w:rPr>
          <w:sz w:val="28"/>
          <w:szCs w:val="28"/>
        </w:rPr>
        <w:t xml:space="preserve">.: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меморіальної дошки на фасаді Комунального закладу “Менський краєзнавчий музей ім. В.Ф. Покотила” Менської міської ради загиблому воїну Крутому В.О. – </w:t>
      </w:r>
      <w:r>
        <w:rPr>
          <w:b/>
          <w:sz w:val="28"/>
          <w:szCs w:val="28"/>
        </w:rPr>
        <w:t xml:space="preserve">12 500 грн</w:t>
      </w:r>
      <w:r>
        <w:rPr>
          <w:sz w:val="28"/>
          <w:szCs w:val="28"/>
        </w:rPr>
        <w:t xml:space="preserve">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numPr>
          <w:ilvl w:val="0"/>
          <w:numId w:val="4"/>
        </w:numPr>
        <w:pBdr/>
        <w:spacing w:line="310" w:lineRule="exact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встановлення меморіальної дошки на фасаді Стольненської філії Комунального закладу “Менський будинок культури” Менської міської ради загиблому воїну Шумейку В.М. – </w:t>
      </w:r>
      <w:r>
        <w:rPr>
          <w:b/>
          <w:sz w:val="28"/>
          <w:szCs w:val="28"/>
        </w:rPr>
        <w:t xml:space="preserve">12 500,00.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10" w:lineRule="exact"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310" w:lineRule="exact"/>
        <w:ind/>
        <w:jc w:val="both"/>
        <w:rPr>
          <w:color w:val="000000"/>
          <w:sz w:val="28"/>
          <w:szCs w:val="28"/>
          <w:lang w:bidi="en-US"/>
        </w:rPr>
      </w:pPr>
      <w:r>
        <w:rPr>
          <w:color w:val="000000"/>
          <w:sz w:val="28"/>
          <w:szCs w:val="28"/>
          <w:lang w:bidi="en-US"/>
        </w:rPr>
        <w:tab/>
      </w:r>
      <w:r>
        <w:rPr>
          <w:color w:val="000000"/>
          <w:sz w:val="28"/>
          <w:szCs w:val="28"/>
          <w:lang w:bidi="en-US"/>
        </w:rPr>
      </w:r>
      <w:bookmarkStart w:id="1" w:name="_GoBack"/>
      <w:r/>
      <w:bookmarkEnd w:id="1"/>
      <w:r>
        <w:rPr>
          <w:color w:val="000000"/>
          <w:sz w:val="28"/>
          <w:szCs w:val="28"/>
          <w:lang w:bidi="en-US"/>
        </w:rPr>
      </w:r>
      <w:r>
        <w:rPr>
          <w:color w:val="000000"/>
          <w:sz w:val="28"/>
          <w:szCs w:val="28"/>
          <w:lang w:bidi="en-US"/>
        </w:rPr>
      </w:r>
    </w:p>
    <w:p>
      <w:pPr>
        <w:pStyle w:val="93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Начальник</w:t>
      </w:r>
      <w:r>
        <w:rPr>
          <w:spacing w:val="-2"/>
          <w:sz w:val="28"/>
          <w:szCs w:val="28"/>
        </w:rPr>
        <w:t xml:space="preserve"> Відділу культури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Менської міської ради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вітлана ШЕЛУДЬКО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40" w:orient="portrait" w:w="11900"/>
      <w:pgMar w:top="1134" w:right="567" w:bottom="1134" w:left="1701" w:header="7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right"/>
      <w:rPr/>
    </w:pPr>
    <w:fldSimple w:instr="PAGE \* MERGEFORMAT">
      <w:r>
        <w:t xml:space="preserve">1</w:t>
      </w:r>
    </w:fldSimple>
    <w:r/>
    <w:r>
      <w:t xml:space="preserve">                                               продовження додатка</w:t>
    </w:r>
    <w:r/>
  </w:p>
  <w:p>
    <w:pPr>
      <w:pStyle w:val="93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01E"/>
    <w:lvl w:ilvl="0">
      <w:isLgl w:val="false"/>
      <w:lvlJc w:val="left"/>
      <w:lvlText w:val="-"/>
      <w:numFmt w:val="bullet"/>
      <w:pPr>
        <w:pBdr/>
        <w:spacing/>
        <w:ind w:hanging="360" w:left="1183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0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2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4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6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8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0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2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43"/>
      </w:pPr>
      <w:rPr>
        <w:rFonts w:hint="default" w:ascii="Wingdings" w:hAnsi="Wingdings"/>
      </w:rPr>
      <w:start w:val="1"/>
      <w:suff w:val="tab"/>
    </w:lvl>
  </w:abstractNum>
  <w:abstractNum w:abstractNumId="1">
    <w:nsid w:val="0D080CBC"/>
    <w:lvl w:ilvl="0">
      <w:isLgl w:val="false"/>
      <w:lvlJc w:val="left"/>
      <w:lvlText w:val="-"/>
      <w:numFmt w:val="bullet"/>
      <w:pPr>
        <w:pBdr/>
        <w:spacing/>
        <w:ind w:hanging="360" w:left="926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6"/>
      </w:pPr>
      <w:rPr>
        <w:rFonts w:hint="default" w:ascii="Wingdings" w:hAnsi="Wingdings"/>
      </w:rPr>
      <w:start w:val="1"/>
      <w:suff w:val="tab"/>
    </w:lvl>
  </w:abstractNum>
  <w:abstractNum w:abstractNumId="2">
    <w:nsid w:val="11FF10E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17410E9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6">
    <w:name w:val="Table Grid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 Light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1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2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3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5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6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2"/>
    <w:basedOn w:val="927"/>
    <w:next w:val="927"/>
    <w:link w:val="9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3">
    <w:name w:val="Heading 3"/>
    <w:basedOn w:val="927"/>
    <w:next w:val="927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4">
    <w:name w:val="Heading 4"/>
    <w:basedOn w:val="927"/>
    <w:next w:val="927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5">
    <w:name w:val="Heading 5"/>
    <w:basedOn w:val="927"/>
    <w:next w:val="927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6">
    <w:name w:val="Heading 6"/>
    <w:basedOn w:val="927"/>
    <w:next w:val="927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7">
    <w:name w:val="Heading 7"/>
    <w:basedOn w:val="927"/>
    <w:next w:val="927"/>
    <w:link w:val="8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8">
    <w:name w:val="Heading 8"/>
    <w:basedOn w:val="927"/>
    <w:next w:val="927"/>
    <w:link w:val="8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Heading 9"/>
    <w:basedOn w:val="927"/>
    <w:next w:val="927"/>
    <w:link w:val="8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1 Char"/>
    <w:basedOn w:val="929"/>
    <w:link w:val="9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1">
    <w:name w:val="Heading 3 Char"/>
    <w:basedOn w:val="929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2">
    <w:name w:val="Heading 4 Char"/>
    <w:basedOn w:val="929"/>
    <w:link w:val="8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3">
    <w:name w:val="Heading 5 Char"/>
    <w:basedOn w:val="929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4">
    <w:name w:val="Heading 6 Char"/>
    <w:basedOn w:val="929"/>
    <w:link w:val="8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5">
    <w:name w:val="Heading 7 Char"/>
    <w:basedOn w:val="929"/>
    <w:link w:val="8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6">
    <w:name w:val="Heading 8 Char"/>
    <w:basedOn w:val="929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Heading 9 Char"/>
    <w:basedOn w:val="929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Title"/>
    <w:basedOn w:val="927"/>
    <w:next w:val="927"/>
    <w:link w:val="88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9">
    <w:name w:val="Title Char"/>
    <w:basedOn w:val="929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0">
    <w:name w:val="Subtitle"/>
    <w:basedOn w:val="927"/>
    <w:next w:val="927"/>
    <w:link w:val="89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1">
    <w:name w:val="Subtitle Char"/>
    <w:basedOn w:val="929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2">
    <w:name w:val="Quote"/>
    <w:basedOn w:val="927"/>
    <w:next w:val="927"/>
    <w:link w:val="8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3">
    <w:name w:val="Quote Char"/>
    <w:basedOn w:val="929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Intense Emphasis"/>
    <w:basedOn w:val="9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5">
    <w:name w:val="Intense Quote"/>
    <w:basedOn w:val="927"/>
    <w:next w:val="927"/>
    <w:link w:val="89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6">
    <w:name w:val="Intense Quote Char"/>
    <w:basedOn w:val="929"/>
    <w:link w:val="89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7">
    <w:name w:val="Intense Reference"/>
    <w:basedOn w:val="9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8">
    <w:name w:val="No Spacing"/>
    <w:basedOn w:val="927"/>
    <w:uiPriority w:val="1"/>
    <w:qFormat/>
    <w:pPr>
      <w:pBdr/>
      <w:spacing w:after="0" w:line="240" w:lineRule="auto"/>
      <w:ind/>
    </w:pPr>
  </w:style>
  <w:style w:type="character" w:styleId="899">
    <w:name w:val="Subtle Emphasis"/>
    <w:basedOn w:val="9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929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929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9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9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4">
    <w:name w:val="Header Char"/>
    <w:basedOn w:val="929"/>
    <w:link w:val="937"/>
    <w:uiPriority w:val="99"/>
    <w:pPr>
      <w:pBdr/>
      <w:spacing/>
      <w:ind/>
    </w:pPr>
  </w:style>
  <w:style w:type="character" w:styleId="905">
    <w:name w:val="Footer Char"/>
    <w:basedOn w:val="929"/>
    <w:link w:val="939"/>
    <w:uiPriority w:val="99"/>
    <w:pPr>
      <w:pBdr/>
      <w:spacing/>
      <w:ind/>
    </w:pPr>
  </w:style>
  <w:style w:type="paragraph" w:styleId="906">
    <w:name w:val="Caption"/>
    <w:basedOn w:val="927"/>
    <w:next w:val="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7">
    <w:name w:val="footnote text"/>
    <w:basedOn w:val="927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Footnote Text Char"/>
    <w:basedOn w:val="929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basedOn w:val="929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927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Endnote Text Char"/>
    <w:basedOn w:val="929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basedOn w:val="929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basedOn w:val="9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9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927"/>
    <w:next w:val="927"/>
    <w:uiPriority w:val="39"/>
    <w:unhideWhenUsed/>
    <w:pPr>
      <w:pBdr/>
      <w:spacing w:after="100"/>
      <w:ind/>
    </w:pPr>
  </w:style>
  <w:style w:type="paragraph" w:styleId="916">
    <w:name w:val="toc 2"/>
    <w:basedOn w:val="927"/>
    <w:next w:val="927"/>
    <w:uiPriority w:val="39"/>
    <w:unhideWhenUsed/>
    <w:pPr>
      <w:pBdr/>
      <w:spacing w:after="100"/>
      <w:ind w:left="220"/>
    </w:pPr>
  </w:style>
  <w:style w:type="paragraph" w:styleId="917">
    <w:name w:val="toc 3"/>
    <w:basedOn w:val="927"/>
    <w:next w:val="927"/>
    <w:uiPriority w:val="39"/>
    <w:unhideWhenUsed/>
    <w:pPr>
      <w:pBdr/>
      <w:spacing w:after="100"/>
      <w:ind w:left="440"/>
    </w:pPr>
  </w:style>
  <w:style w:type="paragraph" w:styleId="918">
    <w:name w:val="toc 4"/>
    <w:basedOn w:val="927"/>
    <w:next w:val="927"/>
    <w:uiPriority w:val="39"/>
    <w:unhideWhenUsed/>
    <w:pPr>
      <w:pBdr/>
      <w:spacing w:after="100"/>
      <w:ind w:left="660"/>
    </w:pPr>
  </w:style>
  <w:style w:type="paragraph" w:styleId="919">
    <w:name w:val="toc 5"/>
    <w:basedOn w:val="927"/>
    <w:next w:val="927"/>
    <w:uiPriority w:val="39"/>
    <w:unhideWhenUsed/>
    <w:pPr>
      <w:pBdr/>
      <w:spacing w:after="100"/>
      <w:ind w:left="880"/>
    </w:pPr>
  </w:style>
  <w:style w:type="paragraph" w:styleId="920">
    <w:name w:val="toc 6"/>
    <w:basedOn w:val="927"/>
    <w:next w:val="927"/>
    <w:uiPriority w:val="39"/>
    <w:unhideWhenUsed/>
    <w:pPr>
      <w:pBdr/>
      <w:spacing w:after="100"/>
      <w:ind w:left="1100"/>
    </w:pPr>
  </w:style>
  <w:style w:type="paragraph" w:styleId="921">
    <w:name w:val="toc 7"/>
    <w:basedOn w:val="927"/>
    <w:next w:val="927"/>
    <w:uiPriority w:val="39"/>
    <w:unhideWhenUsed/>
    <w:pPr>
      <w:pBdr/>
      <w:spacing w:after="100"/>
      <w:ind w:left="1320"/>
    </w:pPr>
  </w:style>
  <w:style w:type="paragraph" w:styleId="922">
    <w:name w:val="toc 8"/>
    <w:basedOn w:val="927"/>
    <w:next w:val="927"/>
    <w:uiPriority w:val="39"/>
    <w:unhideWhenUsed/>
    <w:pPr>
      <w:pBdr/>
      <w:spacing w:after="100"/>
      <w:ind w:left="1540"/>
    </w:pPr>
  </w:style>
  <w:style w:type="paragraph" w:styleId="923">
    <w:name w:val="toc 9"/>
    <w:basedOn w:val="927"/>
    <w:next w:val="927"/>
    <w:uiPriority w:val="39"/>
    <w:unhideWhenUsed/>
    <w:pPr>
      <w:pBdr/>
      <w:spacing w:after="100"/>
      <w:ind w:left="1760"/>
    </w:pPr>
  </w:style>
  <w:style w:type="character" w:styleId="924">
    <w:name w:val="Placeholder Text"/>
    <w:basedOn w:val="929"/>
    <w:uiPriority w:val="99"/>
    <w:semiHidden/>
    <w:pPr>
      <w:pBdr/>
      <w:spacing/>
      <w:ind/>
    </w:pPr>
    <w:rPr>
      <w:color w:val="666666"/>
    </w:r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28">
    <w:name w:val="Heading 1"/>
    <w:basedOn w:val="927"/>
    <w:uiPriority w:val="1"/>
    <w:qFormat/>
    <w:pPr>
      <w:pBdr/>
      <w:spacing/>
      <w:ind w:right="117" w:firstLine="708" w:left="115"/>
      <w:jc w:val="both"/>
      <w:outlineLvl w:val="0"/>
    </w:pPr>
    <w:rPr>
      <w:sz w:val="28"/>
      <w:szCs w:val="28"/>
    </w:rPr>
  </w:style>
  <w:style w:type="character" w:styleId="929" w:default="1">
    <w:name w:val="Default Paragraph Font"/>
    <w:uiPriority w:val="1"/>
    <w:unhideWhenUsed/>
    <w:pPr>
      <w:pBdr/>
      <w:spacing/>
      <w:ind/>
    </w:pPr>
  </w:style>
  <w:style w:type="table" w:styleId="93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1" w:default="1">
    <w:name w:val="No List"/>
    <w:uiPriority w:val="99"/>
    <w:semiHidden/>
    <w:unhideWhenUsed/>
    <w:pPr>
      <w:pBdr/>
      <w:spacing/>
      <w:ind/>
    </w:pPr>
  </w:style>
  <w:style w:type="table" w:styleId="93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3">
    <w:name w:val="Body Text"/>
    <w:basedOn w:val="927"/>
    <w:uiPriority w:val="1"/>
    <w:qFormat/>
    <w:pPr>
      <w:pBdr/>
      <w:spacing/>
      <w:ind w:left="115"/>
      <w:jc w:val="both"/>
    </w:pPr>
    <w:rPr>
      <w:sz w:val="27"/>
      <w:szCs w:val="27"/>
    </w:rPr>
  </w:style>
  <w:style w:type="paragraph" w:styleId="934">
    <w:name w:val="List Paragraph"/>
    <w:basedOn w:val="927"/>
    <w:uiPriority w:val="1"/>
    <w:qFormat/>
    <w:pPr>
      <w:pBdr/>
      <w:spacing/>
      <w:ind/>
    </w:pPr>
  </w:style>
  <w:style w:type="paragraph" w:styleId="935" w:customStyle="1">
    <w:name w:val="Table Paragraph"/>
    <w:basedOn w:val="927"/>
    <w:uiPriority w:val="1"/>
    <w:qFormat/>
    <w:pPr>
      <w:pBdr/>
      <w:spacing/>
      <w:ind/>
    </w:pPr>
  </w:style>
  <w:style w:type="paragraph" w:styleId="936">
    <w:name w:val="Normal (Web)"/>
    <w:basedOn w:val="927"/>
    <w:uiPriority w:val="99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37">
    <w:name w:val="Header"/>
    <w:basedOn w:val="927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8" w:customStyle="1">
    <w:name w:val="Верхний колонтитул Знак"/>
    <w:basedOn w:val="929"/>
    <w:link w:val="937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39">
    <w:name w:val="Footer"/>
    <w:basedOn w:val="927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0" w:customStyle="1">
    <w:name w:val="Нижний колонтитул Знак"/>
    <w:basedOn w:val="929"/>
    <w:link w:val="939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41" w:customStyle="1">
    <w:name w:val="western"/>
    <w:basedOn w:val="927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character" w:styleId="942" w:customStyle="1">
    <w:name w:val="rvts23"/>
    <w:basedOn w:val="929"/>
    <w:pPr>
      <w:pBdr/>
      <w:spacing/>
      <w:ind/>
    </w:pPr>
  </w:style>
  <w:style w:type="character" w:styleId="943" w:customStyle="1">
    <w:name w:val="Heading 2 Char"/>
    <w:basedOn w:val="929"/>
    <w:uiPriority w:val="9"/>
    <w:pPr>
      <w:pBdr/>
      <w:spacing/>
      <w:ind/>
    </w:pPr>
    <w:rPr>
      <w:rFonts w:ascii="Arial" w:hAnsi="Arial" w:eastAsia="Arial" w:cs="Arial"/>
      <w:sz w:val="3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BA46-5D6B-4C1D-8442-434AF0BE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 Програми розвитку культури і туризму за 9 місяців 2016-20161109125834</dc:title>
  <dc:creator>Администратор</dc:creator>
  <cp:keywords>()</cp:keywords>
  <cp:lastModifiedBy>Шелудько Світлана Валеріївна</cp:lastModifiedBy>
  <cp:revision>27</cp:revision>
  <dcterms:created xsi:type="dcterms:W3CDTF">2026-04-13T16:39:00Z</dcterms:created>
  <dcterms:modified xsi:type="dcterms:W3CDTF">2026-04-17T12:34:01Z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2022-12-01T00:00:00Z</vt:filetime>
  </property>
</Properties>
</file>