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33" w:lineRule="auto"/>
        <w:ind w:firstLine="720" w:left="50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 w:line="233" w:lineRule="auto"/>
        <w:ind w:left="576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рішення </w:t>
      </w:r>
      <w:r>
        <w:rPr>
          <w:bCs/>
          <w:color w:val="000000"/>
          <w:sz w:val="28"/>
          <w:szCs w:val="28"/>
        </w:rPr>
        <w:t xml:space="preserve">72</w:t>
      </w:r>
      <w:r>
        <w:rPr>
          <w:bCs/>
          <w:color w:val="000000"/>
          <w:sz w:val="28"/>
          <w:szCs w:val="28"/>
        </w:rPr>
        <w:t xml:space="preserve"> сесії Менської міської ради 8 скликання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 w:line="233" w:lineRule="auto"/>
        <w:ind w:firstLine="720" w:left="50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17 квітня</w:t>
      </w:r>
      <w:r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 xml:space="preserve">6</w:t>
      </w:r>
      <w:r>
        <w:rPr>
          <w:bCs/>
          <w:color w:val="000000"/>
          <w:sz w:val="28"/>
          <w:szCs w:val="28"/>
        </w:rPr>
        <w:t xml:space="preserve"> року № </w:t>
      </w:r>
      <w:r>
        <w:rPr>
          <w:bCs/>
          <w:color w:val="000000"/>
          <w:sz w:val="28"/>
          <w:szCs w:val="28"/>
        </w:rPr>
        <w:t xml:space="preserve">212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 w:line="233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33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33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виконання</w:t>
      </w:r>
      <w:r>
        <w:rPr>
          <w:b/>
          <w:sz w:val="28"/>
          <w:szCs w:val="28"/>
        </w:rPr>
        <w:t xml:space="preserve"> </w:t>
      </w:r>
      <w:bookmarkStart w:id="0" w:name="_Hlk115951181"/>
      <w:r/>
      <w:bookmarkStart w:id="1" w:name="_Hlk155702611"/>
      <w:r>
        <w:rPr>
          <w:b/>
          <w:sz w:val="28"/>
          <w:szCs w:val="28"/>
        </w:rPr>
        <w:t xml:space="preserve">Програми </w:t>
      </w:r>
      <w:r>
        <w:rPr>
          <w:b/>
          <w:bCs/>
          <w:sz w:val="28"/>
          <w:szCs w:val="28"/>
        </w:rPr>
        <w:t xml:space="preserve">розвитку культури Менської міської територіальної громади на 2025-2027 роки</w:t>
      </w:r>
      <w:r>
        <w:rPr>
          <w:b/>
          <w:sz w:val="28"/>
          <w:szCs w:val="28"/>
        </w:rPr>
        <w:t xml:space="preserve"> за </w:t>
      </w:r>
      <w:bookmarkStart w:id="2" w:name="_GoBack"/>
      <w:r/>
      <w:bookmarkEnd w:id="2"/>
      <w:r>
        <w:rPr>
          <w:b/>
          <w:sz w:val="28"/>
          <w:szCs w:val="28"/>
        </w:rPr>
        <w:t xml:space="preserve">2025 р</w:t>
      </w:r>
      <w:bookmarkEnd w:id="0"/>
      <w:r>
        <w:rPr>
          <w:b/>
          <w:sz w:val="28"/>
          <w:szCs w:val="28"/>
        </w:rPr>
        <w:t xml:space="preserve">ік</w:t>
      </w:r>
      <w:r>
        <w:rPr>
          <w:b/>
          <w:sz w:val="28"/>
          <w:szCs w:val="28"/>
        </w:rPr>
        <w:t xml:space="preserve"> </w:t>
      </w:r>
      <w:bookmarkEnd w:id="1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1"/>
        <w:pBdr/>
        <w:spacing w:line="233" w:lineRule="auto"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uppressLineNumbers w:val="false"/>
        <w:pBdr/>
        <w:shd w:val="clear" w:color="auto" w:fill="ffffff"/>
        <w:spacing w:line="233" w:lineRule="auto"/>
        <w:ind w:firstLine="567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lang w:bidi="en-US"/>
        </w:rPr>
      </w:r>
      <w:r>
        <w:rPr>
          <w:rFonts w:eastAsia="Calibri"/>
          <w:sz w:val="28"/>
          <w:szCs w:val="28"/>
        </w:rPr>
        <w:t xml:space="preserve">Рішенням 56 сесії Менської міської ради 8 скликання </w:t>
      </w:r>
      <w:r>
        <w:rPr>
          <w:rFonts w:eastAsia="Calibri"/>
          <w:sz w:val="28"/>
          <w:szCs w:val="28"/>
        </w:rPr>
        <w:t xml:space="preserve">від 19 грудня 2024 року </w:t>
      </w:r>
      <w:r>
        <w:rPr>
          <w:rFonts w:eastAsia="Calibri"/>
          <w:sz w:val="28"/>
          <w:szCs w:val="28"/>
        </w:rPr>
        <w:t xml:space="preserve">№736 </w:t>
      </w:r>
      <w:r>
        <w:rPr>
          <w:rFonts w:eastAsia="Calibri"/>
          <w:sz w:val="28"/>
          <w:szCs w:val="28"/>
        </w:rPr>
        <w:t xml:space="preserve">“</w:t>
      </w:r>
      <w:r>
        <w:rPr>
          <w:rFonts w:eastAsia="Calibri"/>
          <w:sz w:val="28"/>
          <w:szCs w:val="28"/>
        </w:rPr>
        <w:t xml:space="preserve">П</w:t>
      </w:r>
      <w:r>
        <w:rPr>
          <w:rFonts w:eastAsia="Calibri"/>
          <w:sz w:val="28"/>
          <w:szCs w:val="28"/>
        </w:rPr>
        <w:t xml:space="preserve">ро затвердження Програми розв</w:t>
      </w:r>
      <w:r>
        <w:rPr>
          <w:rFonts w:eastAsia="Calibri"/>
          <w:sz w:val="28"/>
          <w:szCs w:val="28"/>
        </w:rPr>
        <w:t xml:space="preserve">итку культури на 2025-2027 роки”</w:t>
      </w:r>
      <w:r>
        <w:rPr>
          <w:rFonts w:eastAsia="Calibri"/>
          <w:sz w:val="28"/>
          <w:szCs w:val="28"/>
        </w:rPr>
        <w:t xml:space="preserve"> було затверджено дану Програму.</w:t>
      </w:r>
      <w:r>
        <w:rPr>
          <w:rFonts w:eastAsia="Calibri"/>
          <w:sz w:val="26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Рішеннями 63 сесії 8 скликання від 23 липня 2025 року №416 та 67 сесії 8 скликання від 19 листопада 2025 року № </w:t>
      </w:r>
      <w:r>
        <w:rPr>
          <w:rFonts w:eastAsia="Calibri"/>
          <w:sz w:val="28"/>
          <w:szCs w:val="28"/>
        </w:rPr>
        <w:t xml:space="preserve">683 до Програми були внесені зміни.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uppressLineNumbers w:val="false"/>
        <w:pBdr/>
        <w:shd w:val="clear" w:color="auto" w:fill="ffffff"/>
        <w:spacing w:line="233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en-US"/>
        </w:rPr>
        <w:t xml:space="preserve">Головною метою </w:t>
      </w:r>
      <w:r>
        <w:rPr>
          <w:color w:val="000000"/>
          <w:sz w:val="28"/>
          <w:szCs w:val="28"/>
          <w:lang w:bidi="en-US"/>
        </w:rPr>
        <w:t xml:space="preserve"> Програми</w:t>
      </w:r>
      <w:r>
        <w:rPr>
          <w:color w:val="000000"/>
          <w:sz w:val="28"/>
          <w:szCs w:val="28"/>
          <w:lang w:bidi="en-US"/>
        </w:rPr>
        <w:t xml:space="preserve"> є </w:t>
      </w:r>
      <w:r>
        <w:rPr>
          <w:sz w:val="28"/>
          <w:szCs w:val="28"/>
          <w:lang w:eastAsia="ru-RU"/>
        </w:rPr>
        <w:t xml:space="preserve">становлення Менської міської територіальної громади, як територіальної одиниц</w:t>
      </w:r>
      <w:r>
        <w:rPr>
          <w:sz w:val="28"/>
          <w:szCs w:val="28"/>
          <w:lang w:eastAsia="ru-RU"/>
        </w:rPr>
        <w:t xml:space="preserve">і з розвиненою культурною та туристичною інфраструктурою, різноманітним культурно-мистецьким життям, що впливатиме на створення позитивного іміджу Менської міської територіальної громади та сприятиме збільшенню її туристичної та інвестиційної привабливості</w:t>
      </w:r>
      <w:r>
        <w:rPr>
          <w:color w:val="000000"/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ru-RU"/>
        </w:rPr>
        <w:t xml:space="preserve"> формування контексту, в якому громадяни можуть реалізувати свої гарантовані Конституцією права на вільний доступ і можливості задоволення своїх культурних, естетичних та духовних потреб. Будинки культури, бібліотеки, школа мистецтв,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музеї</w:t>
      </w:r>
      <w:r>
        <w:rPr>
          <w:sz w:val="28"/>
          <w:szCs w:val="28"/>
          <w:lang w:eastAsia="ru-RU"/>
        </w:rPr>
        <w:t xml:space="preserve"> а також їх рівень розвитку та ефективність є ключовими факторами, за якими можна оцінити соціально-економічний розвиток громади та його соціально-культурне середовище.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widowControl w:val="true"/>
        <w:suppressLineNumbers w:val="false"/>
        <w:pBdr/>
        <w:shd w:val="clear" w:color="auto" w:fill="ffffff"/>
        <w:spacing w:line="233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 xml:space="preserve">Фінансове</w:t>
      </w:r>
      <w:r>
        <w:rPr>
          <w:sz w:val="28"/>
          <w:szCs w:val="28"/>
          <w:lang w:eastAsia="ru-RU"/>
        </w:rPr>
        <w:t xml:space="preserve"> забезпечення Програми на 2025 рік затверджено </w:t>
      </w:r>
      <w:r>
        <w:rPr>
          <w:rFonts w:eastAsia="Calibri"/>
          <w:sz w:val="28"/>
          <w:szCs w:val="28"/>
        </w:rPr>
        <w:t xml:space="preserve">у сумі </w:t>
      </w:r>
      <w:r>
        <w:rPr>
          <w:b/>
          <w:bCs/>
          <w:sz w:val="28"/>
          <w:szCs w:val="28"/>
          <w:lang w:eastAsia="ru-RU"/>
        </w:rPr>
        <w:t xml:space="preserve">6906,0 тис.</w:t>
      </w:r>
      <w:r>
        <w:rPr>
          <w:rFonts w:eastAsia="Calibri"/>
          <w:b/>
          <w:sz w:val="28"/>
          <w:szCs w:val="28"/>
        </w:rPr>
        <w:t xml:space="preserve">грн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  <w:t xml:space="preserve">,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використано </w:t>
      </w:r>
      <w:r>
        <w:rPr>
          <w:rFonts w:eastAsia="Calibri"/>
          <w:sz w:val="28"/>
          <w:szCs w:val="28"/>
        </w:rPr>
        <w:t xml:space="preserve">у сумі </w:t>
      </w:r>
      <w:r>
        <w:rPr>
          <w:rFonts w:eastAsia="Calibri"/>
          <w:b/>
          <w:bCs/>
          <w:sz w:val="28"/>
          <w:szCs w:val="28"/>
        </w:rPr>
        <w:t xml:space="preserve">430 661,59 грн</w:t>
      </w:r>
      <w:r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Style w:val="934"/>
        <w:suppressLineNumbers w:val="false"/>
        <w:pBdr/>
        <w:spacing w:after="0" w:afterAutospacing="0" w:before="0" w:beforeAutospacing="0"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Станом на 01.01.2026 року  культурне обслуговування жителів Менської громади забезпечує  </w:t>
      </w:r>
      <w:r>
        <w:rPr>
          <w:sz w:val="28"/>
          <w:szCs w:val="28"/>
          <w:lang w:val="uk-UA"/>
        </w:rPr>
        <w:t xml:space="preserve">п’ять комунальних закладів: КЗ “Менський будинок культури” з 24 філіями, КЗ “Менська публічна бібліотек” з 24 філіями, КЗ “</w:t>
      </w:r>
      <w:r>
        <w:rPr>
          <w:sz w:val="28"/>
          <w:szCs w:val="28"/>
          <w:lang w:val="uk-UA"/>
        </w:rPr>
        <w:t xml:space="preserve">Це</w:t>
      </w:r>
      <w:r>
        <w:rPr>
          <w:sz w:val="28"/>
          <w:szCs w:val="28"/>
          <w:lang w:val="uk-UA"/>
        </w:rPr>
        <w:t xml:space="preserve">нтр культури та дозвілля молоді”, КЗ “</w:t>
      </w:r>
      <w:r>
        <w:rPr>
          <w:sz w:val="28"/>
          <w:szCs w:val="28"/>
          <w:lang w:val="uk-UA"/>
        </w:rPr>
        <w:t xml:space="preserve">Менський крає</w:t>
      </w:r>
      <w:r>
        <w:rPr>
          <w:sz w:val="28"/>
          <w:szCs w:val="28"/>
          <w:lang w:val="uk-UA"/>
        </w:rPr>
        <w:t xml:space="preserve">знавчий музей ім. В.Ф. Покотила” та КЗ “Менська школа мистецтв”</w:t>
      </w:r>
      <w:r>
        <w:rPr>
          <w:sz w:val="28"/>
          <w:szCs w:val="28"/>
          <w:lang w:val="uk-UA"/>
        </w:rPr>
        <w:t xml:space="preserve">. Всі заклади культури активно працювали, адаптуючи свою діяльність до потреб громади та умов безпеки.</w:t>
      </w:r>
      <w:r>
        <w:rPr>
          <w:sz w:val="28"/>
          <w:szCs w:val="28"/>
          <w:lang w:val="uk-UA" w:eastAsia="uk-UA"/>
        </w:rPr>
        <w:t xml:space="preserve"> Заклади культури забезпечують реалізацію завдань у галузі збереження та поширення культурних цінностей, проводять просвітницьку роботу та надають різноманітні культурні послуги населенню.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widowControl w:val="true"/>
        <w:suppressLineNumbers w:val="false"/>
        <w:pBdr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звітний період суттєво </w:t>
      </w:r>
      <w:r>
        <w:rPr>
          <w:color w:val="000000"/>
          <w:sz w:val="28"/>
          <w:szCs w:val="28"/>
        </w:rPr>
        <w:t xml:space="preserve">підвищилась доступність культурних послуг, урізноманітнились форми послуг для різних соціальних верств населення. </w:t>
      </w:r>
      <w:r>
        <w:rPr>
          <w:rFonts w:eastAsia="Calibri"/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Більшість закладів культури підключена до мережі Інтернет, завдяки чому жителі громади мають можливість оперативно отримувати якісну інформацію, працювати дистанційно тощо.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suppressLineNumbers w:val="false"/>
        <w:pBdr/>
        <w:spacing w:line="233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Протягом року </w:t>
      </w:r>
      <w:r>
        <w:rPr>
          <w:sz w:val="28"/>
          <w:szCs w:val="28"/>
        </w:rPr>
        <w:t xml:space="preserve">було проведено </w:t>
      </w:r>
      <w:r>
        <w:rPr>
          <w:sz w:val="28"/>
          <w:szCs w:val="28"/>
        </w:rPr>
        <w:t xml:space="preserve">ряд</w:t>
      </w:r>
      <w:r>
        <w:rPr>
          <w:sz w:val="28"/>
          <w:szCs w:val="28"/>
        </w:rPr>
        <w:t xml:space="preserve"> зах</w:t>
      </w:r>
      <w:r>
        <w:rPr>
          <w:sz w:val="28"/>
          <w:szCs w:val="28"/>
        </w:rPr>
        <w:t xml:space="preserve">ід різного формату</w:t>
      </w:r>
      <w:r>
        <w:rPr>
          <w:sz w:val="28"/>
          <w:szCs w:val="28"/>
        </w:rPr>
        <w:t xml:space="preserve">, спрямован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на об’єднання різних верств населення: ветеранів, ВПО, родин, молоді та людей старшого віку. Освітні, творчі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меморіальні</w:t>
      </w:r>
      <w:r>
        <w:rPr>
          <w:sz w:val="28"/>
          <w:szCs w:val="28"/>
        </w:rPr>
        <w:t xml:space="preserve">, благодійні</w:t>
      </w:r>
      <w:r>
        <w:rPr>
          <w:sz w:val="28"/>
          <w:szCs w:val="28"/>
        </w:rPr>
        <w:t xml:space="preserve"> ініціативи поєднували історію, мистецтво і спілкування, створюючи простір для обміну досвідом, взаємної підтримки та соціальної інтеграції.</w:t>
      </w:r>
      <w:r>
        <w:rPr>
          <w:sz w:val="28"/>
          <w:szCs w:val="28"/>
        </w:rPr>
        <w:t xml:space="preserve"> Велась робота по популяризація нематеріальної культурної спадщини як невід’ємної ознаки української </w:t>
      </w:r>
      <w:r>
        <w:rPr>
          <w:sz w:val="28"/>
          <w:szCs w:val="28"/>
        </w:rPr>
        <w:t xml:space="preserve">ідентичності культури громади.</w:t>
      </w:r>
      <w:r>
        <w:rPr>
          <w:sz w:val="28"/>
          <w:szCs w:val="28"/>
        </w:rPr>
        <w:t xml:space="preserve"> Для забезпечення безпеки відвідувачів закладів культури  частина запланованих у 2025 році заходів виконувалися переважно шляхом розміщення матеріалі</w:t>
      </w:r>
      <w:r>
        <w:rPr>
          <w:sz w:val="28"/>
          <w:szCs w:val="28"/>
        </w:rPr>
        <w:t xml:space="preserve">в на сторінці Відділу культури </w:t>
      </w:r>
      <w:r>
        <w:rPr>
          <w:sz w:val="28"/>
          <w:szCs w:val="28"/>
        </w:rPr>
        <w:t xml:space="preserve">у Facebook,  а також на офіційному сайті Менської громади. . Протягом звітного року було проведено інформування/розміщення інформаційних матеріалів усіх свят, пам’ятних дат та інших культурно-мистецьких заходів.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true"/>
        <w:suppressLineNumbers w:val="false"/>
        <w:pBdr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Заклади культури забезпечують реалізацію завдань у галузі збереження та поширення культурних цінностей, проводять просвітницьку роботу та надають різноманітні культурні послуги населенню</w:t>
      </w:r>
      <w:r>
        <w:rPr>
          <w:sz w:val="28"/>
          <w:szCs w:val="28"/>
          <w:lang w:eastAsia="uk-UA"/>
        </w:rPr>
        <w:t xml:space="preserve">,</w:t>
      </w:r>
      <w:r>
        <w:rPr>
          <w:sz w:val="28"/>
          <w:szCs w:val="28"/>
          <w:lang w:eastAsia="uk-UA"/>
        </w:rPr>
        <w:t xml:space="preserve"> на які в</w:t>
      </w:r>
      <w:r>
        <w:rPr>
          <w:sz w:val="28"/>
          <w:szCs w:val="28"/>
          <w:lang w:eastAsia="uk-UA"/>
        </w:rPr>
        <w:t xml:space="preserve"> 2025 році з місцевого бюджету було виділено кошти для</w:t>
      </w:r>
      <w:r>
        <w:rPr>
          <w:sz w:val="28"/>
          <w:szCs w:val="28"/>
          <w:lang w:eastAsia="uk-UA"/>
        </w:rPr>
        <w:t xml:space="preserve"> фінансового забезпечення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: </w:t>
      </w:r>
      <w:r>
        <w:rPr>
          <w:sz w:val="28"/>
          <w:szCs w:val="28"/>
          <w:lang w:eastAsia="uk-UA"/>
        </w:rPr>
      </w:r>
      <w:r>
        <w:rPr>
          <w:sz w:val="28"/>
          <w:szCs w:val="28"/>
          <w:lang w:eastAsia="uk-UA"/>
        </w:rPr>
      </w:r>
    </w:p>
    <w:p>
      <w:pPr>
        <w:widowControl w:val="true"/>
        <w:suppressLineNumbers w:val="false"/>
        <w:pBdr/>
        <w:tabs>
          <w:tab w:val="left" w:leader="none" w:pos="720"/>
        </w:tabs>
        <w:spacing w:line="233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eastAsia="uk-UA"/>
        </w:rPr>
        <w:t xml:space="preserve">-</w:t>
      </w:r>
      <w:r>
        <w:rPr>
          <w:rFonts w:eastAsia="Calibri"/>
          <w:sz w:val="28"/>
          <w:szCs w:val="28"/>
        </w:rPr>
        <w:t xml:space="preserve"> культурно-мистецьких заходів</w:t>
      </w:r>
      <w:r>
        <w:rPr>
          <w:rFonts w:eastAsia="Calibri"/>
          <w:sz w:val="28"/>
          <w:szCs w:val="28"/>
        </w:rPr>
        <w:t xml:space="preserve"> </w:t>
      </w:r>
      <w:r>
        <w:rPr>
          <w:iCs/>
          <w:sz w:val="28"/>
          <w:szCs w:val="28"/>
          <w:lang w:eastAsia="uk-UA"/>
        </w:rPr>
        <w:t xml:space="preserve"> із національно-патріотичного виховання, які спрямовані на розвиток державної гідності, </w:t>
      </w:r>
      <w:r>
        <w:rPr>
          <w:rFonts w:eastAsia="Calibri"/>
          <w:sz w:val="28"/>
          <w:szCs w:val="28"/>
        </w:rPr>
        <w:t xml:space="preserve">по</w:t>
      </w:r>
      <w:r>
        <w:rPr>
          <w:rFonts w:eastAsia="Calibri"/>
          <w:sz w:val="28"/>
          <w:szCs w:val="28"/>
        </w:rPr>
        <w:t xml:space="preserve"> вшануванн</w:t>
      </w:r>
      <w:r>
        <w:rPr>
          <w:rFonts w:eastAsia="Calibri"/>
          <w:sz w:val="28"/>
          <w:szCs w:val="28"/>
        </w:rPr>
        <w:t xml:space="preserve">ю</w:t>
      </w:r>
      <w:r>
        <w:rPr>
          <w:rFonts w:eastAsia="Calibri"/>
          <w:sz w:val="28"/>
          <w:szCs w:val="28"/>
        </w:rPr>
        <w:t xml:space="preserve"> пам’яті Героїв Небесної Сотні, загиблих учасників АТО, полеглих земляків в російсько-українській війні, до Дня Чорнобильської катастрофи, до Дня захисників і захисниць України, до </w:t>
      </w:r>
      <w:r>
        <w:rPr>
          <w:rFonts w:eastAsia="Calibri"/>
          <w:sz w:val="28"/>
          <w:szCs w:val="28"/>
        </w:rPr>
        <w:t xml:space="preserve">3</w:t>
      </w:r>
      <w:r>
        <w:rPr>
          <w:rFonts w:eastAsia="Calibri"/>
          <w:sz w:val="28"/>
          <w:szCs w:val="28"/>
        </w:rPr>
        <w:t xml:space="preserve">-ї річниці визволення Чернігівщини від російських окупантів, до Дня державності України, до Дня Державного Прапора та Незалежності України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 патріотичні заходи, спрямовані на підтримку української армії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на</w:t>
      </w:r>
      <w:r>
        <w:rPr>
          <w:rFonts w:eastAsia="Calibri"/>
          <w:sz w:val="28"/>
          <w:szCs w:val="28"/>
        </w:rPr>
        <w:t xml:space="preserve"> послуги по виготовленню </w:t>
      </w:r>
      <w:r>
        <w:rPr>
          <w:rFonts w:eastAsia="Calibri"/>
          <w:sz w:val="28"/>
          <w:szCs w:val="28"/>
        </w:rPr>
        <w:t xml:space="preserve">трьох</w:t>
      </w:r>
      <w:r>
        <w:rPr>
          <w:rFonts w:eastAsia="Calibri"/>
          <w:sz w:val="28"/>
          <w:szCs w:val="28"/>
        </w:rPr>
        <w:t xml:space="preserve"> банерів “Живі поки пам'ятаємо”, </w:t>
      </w:r>
      <w:r>
        <w:rPr>
          <w:rFonts w:eastAsia="Calibri"/>
          <w:sz w:val="28"/>
          <w:szCs w:val="28"/>
        </w:rPr>
        <w:t xml:space="preserve">придбання</w:t>
      </w:r>
      <w:r>
        <w:rPr>
          <w:rFonts w:eastAsia="Calibri"/>
          <w:sz w:val="28"/>
          <w:szCs w:val="28"/>
        </w:rPr>
        <w:t xml:space="preserve"> канцелярських товарів для виготовлення патріотичних сувенірів, </w:t>
      </w:r>
      <w:r>
        <w:rPr>
          <w:rFonts w:eastAsia="Calibri"/>
          <w:sz w:val="28"/>
          <w:szCs w:val="28"/>
        </w:rPr>
        <w:t xml:space="preserve">придбання </w:t>
      </w:r>
      <w:r>
        <w:rPr>
          <w:rFonts w:eastAsia="Calibri"/>
          <w:sz w:val="28"/>
          <w:szCs w:val="28"/>
        </w:rPr>
        <w:t xml:space="preserve">патріотичної атрибутики, проведення майстер класів у сумі </w:t>
      </w:r>
      <w:r>
        <w:rPr>
          <w:rFonts w:eastAsia="Calibri"/>
          <w:sz w:val="28"/>
          <w:szCs w:val="28"/>
        </w:rPr>
        <w:t xml:space="preserve">–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42 481,</w:t>
      </w:r>
      <w:r>
        <w:rPr>
          <w:rFonts w:eastAsia="Calibri"/>
          <w:b/>
          <w:sz w:val="28"/>
          <w:szCs w:val="28"/>
        </w:rPr>
        <w:t xml:space="preserve">00 грн.;</w:t>
      </w:r>
      <w:r>
        <w:rPr>
          <w:b/>
          <w:sz w:val="28"/>
          <w:szCs w:val="28"/>
          <w:lang w:eastAsia="uk-UA"/>
        </w:rPr>
      </w:r>
      <w:r>
        <w:rPr>
          <w:b/>
          <w:sz w:val="28"/>
          <w:szCs w:val="28"/>
          <w:lang w:eastAsia="uk-UA"/>
        </w:rPr>
      </w:r>
    </w:p>
    <w:p>
      <w:pPr>
        <w:widowControl w:val="true"/>
        <w:suppressLineNumbers w:val="false"/>
        <w:pBdr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</w:r>
      <w:r>
        <w:rPr>
          <w:sz w:val="28"/>
          <w:szCs w:val="28"/>
          <w:lang w:eastAsia="uk-UA"/>
        </w:rPr>
        <w:t xml:space="preserve">-  </w:t>
      </w:r>
      <w:r>
        <w:rPr>
          <w:sz w:val="28"/>
          <w:szCs w:val="28"/>
          <w:lang w:eastAsia="uk-UA"/>
        </w:rPr>
        <w:t xml:space="preserve">транспортних послуг для участі </w:t>
      </w:r>
      <w:r>
        <w:rPr>
          <w:sz w:val="28"/>
          <w:szCs w:val="28"/>
          <w:lang w:eastAsia="uk-UA"/>
        </w:rPr>
        <w:t xml:space="preserve">аматорських</w:t>
      </w:r>
      <w:r>
        <w:rPr>
          <w:sz w:val="28"/>
          <w:szCs w:val="28"/>
          <w:lang w:eastAsia="uk-UA"/>
        </w:rPr>
        <w:t xml:space="preserve"> колективів</w:t>
      </w:r>
      <w:r>
        <w:rPr>
          <w:sz w:val="28"/>
          <w:szCs w:val="28"/>
          <w:lang w:eastAsia="uk-UA"/>
        </w:rPr>
        <w:t xml:space="preserve">, окремих виконавців та молоді</w:t>
      </w:r>
      <w:r>
        <w:rPr>
          <w:sz w:val="28"/>
          <w:szCs w:val="28"/>
          <w:lang w:eastAsia="uk-UA"/>
        </w:rPr>
        <w:t xml:space="preserve"> в  </w:t>
      </w:r>
      <w:r>
        <w:rPr>
          <w:sz w:val="28"/>
          <w:szCs w:val="28"/>
          <w:lang w:eastAsia="uk-UA"/>
        </w:rPr>
        <w:t xml:space="preserve">виїзних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благодійних концертах, акціях, ярмарках, </w:t>
      </w:r>
      <w:r>
        <w:rPr>
          <w:sz w:val="28"/>
          <w:szCs w:val="28"/>
          <w:lang w:eastAsia="uk-UA"/>
        </w:rPr>
        <w:t xml:space="preserve">фестивалях та конкурсах </w:t>
      </w:r>
      <w:r>
        <w:rPr>
          <w:sz w:val="28"/>
          <w:szCs w:val="28"/>
          <w:lang w:eastAsia="uk-UA"/>
        </w:rPr>
        <w:t xml:space="preserve">Міжнародного</w:t>
      </w:r>
      <w:r>
        <w:rPr>
          <w:sz w:val="28"/>
          <w:szCs w:val="28"/>
          <w:lang w:eastAsia="uk-UA"/>
        </w:rPr>
        <w:t xml:space="preserve"> рівня  у сумі </w:t>
      </w:r>
      <w:r>
        <w:rPr>
          <w:b/>
          <w:sz w:val="28"/>
          <w:szCs w:val="28"/>
          <w:lang w:eastAsia="uk-UA"/>
        </w:rPr>
        <w:t xml:space="preserve">84 096,30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грн.</w:t>
      </w:r>
      <w:r>
        <w:rPr>
          <w:sz w:val="28"/>
          <w:szCs w:val="28"/>
          <w:lang w:eastAsia="uk-UA"/>
        </w:rPr>
        <w:t xml:space="preserve"> Протягом року колективи приймали </w:t>
      </w:r>
      <w:r>
        <w:rPr>
          <w:sz w:val="28"/>
          <w:szCs w:val="28"/>
          <w:lang w:eastAsia="uk-UA"/>
        </w:rPr>
        <w:t xml:space="preserve">онлайн та офлайн </w:t>
      </w:r>
      <w:r>
        <w:rPr>
          <w:sz w:val="28"/>
          <w:szCs w:val="28"/>
          <w:lang w:eastAsia="uk-UA"/>
        </w:rPr>
        <w:t xml:space="preserve">участь в </w:t>
      </w:r>
      <w:r>
        <w:rPr>
          <w:sz w:val="28"/>
          <w:szCs w:val="28"/>
          <w:lang w:eastAsia="uk-UA"/>
        </w:rPr>
        <w:t xml:space="preserve">28  фестивалях-конкурсах різного рівня, де вибороли 69 призових місць, з них 9 – ГРАН-ПРІ</w:t>
      </w:r>
      <w:r>
        <w:rPr>
          <w:sz w:val="28"/>
          <w:szCs w:val="28"/>
          <w:lang w:eastAsia="uk-UA"/>
        </w:rPr>
        <w:t xml:space="preserve">. В рамках програми “Пліч-о-пліч”</w:t>
      </w:r>
      <w:r>
        <w:rPr>
          <w:sz w:val="28"/>
          <w:szCs w:val="28"/>
          <w:lang w:eastAsia="uk-UA"/>
        </w:rPr>
        <w:t xml:space="preserve"> </w:t>
      </w:r>
      <w:bookmarkStart w:id="3" w:name="_Hlk227062281"/>
      <w:r>
        <w:rPr>
          <w:sz w:val="28"/>
          <w:szCs w:val="28"/>
          <w:lang w:eastAsia="uk-UA"/>
        </w:rPr>
        <w:t xml:space="preserve">зразкови</w:t>
      </w:r>
      <w:r>
        <w:rPr>
          <w:sz w:val="28"/>
          <w:szCs w:val="28"/>
          <w:lang w:eastAsia="uk-UA"/>
        </w:rPr>
        <w:t xml:space="preserve">й ансамбль народного танцю “Калинонька”, зразковий цирковий колектив “Юність” та вокальний дитячий ансамбль “Співоча пташка”</w:t>
      </w:r>
      <w:r>
        <w:rPr>
          <w:sz w:val="28"/>
          <w:szCs w:val="28"/>
          <w:lang w:eastAsia="uk-UA"/>
        </w:rPr>
        <w:t xml:space="preserve"> взяли участь </w:t>
      </w:r>
      <w:bookmarkEnd w:id="3"/>
      <w:r>
        <w:rPr>
          <w:sz w:val="28"/>
          <w:szCs w:val="28"/>
          <w:lang w:eastAsia="uk-UA"/>
        </w:rPr>
        <w:t xml:space="preserve">в урочистостях та святковому концерті до Дня Незалежності України в м. Тлумач Івано-Франківської області. </w:t>
      </w:r>
      <w:r>
        <w:rPr>
          <w:sz w:val="28"/>
          <w:szCs w:val="28"/>
          <w:lang w:eastAsia="uk-UA"/>
        </w:rPr>
        <w:t xml:space="preserve">Зразковий </w:t>
      </w:r>
      <w:r>
        <w:rPr>
          <w:sz w:val="28"/>
          <w:szCs w:val="28"/>
          <w:lang w:eastAsia="uk-UA"/>
        </w:rPr>
        <w:t xml:space="preserve">ансамбль народного танцю “Калинонька” та вокальний дитячий ансамбль “Співоча пташка”</w:t>
      </w:r>
      <w:r>
        <w:rPr>
          <w:sz w:val="28"/>
          <w:szCs w:val="28"/>
          <w:lang w:eastAsia="uk-UA"/>
        </w:rPr>
        <w:t xml:space="preserve"> взяли участь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у фестивалі творчості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KITEN ART FEST у м.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Кітен</w:t>
      </w:r>
      <w:r>
        <w:rPr>
          <w:sz w:val="28"/>
          <w:szCs w:val="28"/>
          <w:lang w:eastAsia="uk-UA"/>
        </w:rPr>
        <w:t xml:space="preserve"> в Болгарії.</w:t>
      </w:r>
      <w:r>
        <w:rPr>
          <w:sz w:val="28"/>
          <w:szCs w:val="28"/>
          <w:lang w:eastAsia="uk-UA"/>
        </w:rPr>
      </w:r>
      <w:r>
        <w:rPr>
          <w:sz w:val="28"/>
          <w:szCs w:val="28"/>
          <w:lang w:eastAsia="uk-UA"/>
        </w:rPr>
      </w:r>
    </w:p>
    <w:p>
      <w:pPr>
        <w:suppressLineNumbers w:val="false"/>
        <w:pBdr/>
        <w:spacing w:line="233" w:lineRule="auto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sz w:val="28"/>
          <w:szCs w:val="28"/>
          <w:lang w:eastAsia="uk-UA"/>
        </w:rPr>
        <w:t xml:space="preserve">- </w:t>
      </w:r>
      <w:r>
        <w:rPr>
          <w:rFonts w:eastAsia="Calibri"/>
          <w:sz w:val="28"/>
          <w:szCs w:val="28"/>
        </w:rPr>
        <w:t xml:space="preserve">організаці</w:t>
      </w:r>
      <w:r>
        <w:rPr>
          <w:rFonts w:eastAsia="Calibri"/>
          <w:sz w:val="28"/>
          <w:szCs w:val="28"/>
        </w:rPr>
        <w:t xml:space="preserve">ю</w:t>
      </w:r>
      <w:r>
        <w:rPr>
          <w:rFonts w:eastAsia="Calibri"/>
          <w:sz w:val="28"/>
          <w:szCs w:val="28"/>
        </w:rPr>
        <w:t xml:space="preserve"> культурно-мистецьких заходів по збереженню українських культурних традицій, найбільших релігійних свят, фольклорно-обрядов</w:t>
      </w:r>
      <w:r>
        <w:rPr>
          <w:rFonts w:eastAsia="Calibri"/>
          <w:sz w:val="28"/>
          <w:szCs w:val="28"/>
        </w:rPr>
        <w:t xml:space="preserve">их</w:t>
      </w:r>
      <w:r>
        <w:rPr>
          <w:rFonts w:eastAsia="Calibri"/>
          <w:sz w:val="28"/>
          <w:szCs w:val="28"/>
        </w:rPr>
        <w:t xml:space="preserve">,</w:t>
      </w:r>
      <w:r>
        <w:rPr>
          <w:rFonts w:eastAsia="Calibri"/>
          <w:sz w:val="28"/>
          <w:szCs w:val="28"/>
        </w:rPr>
        <w:t xml:space="preserve"> галузевих свят, ювілейних та знаменних дат,</w:t>
      </w:r>
      <w:r>
        <w:rPr>
          <w:rFonts w:eastAsia="Calibri"/>
          <w:sz w:val="28"/>
          <w:szCs w:val="28"/>
        </w:rPr>
        <w:t xml:space="preserve"> Дня родини, Дня матері, Дня дитини</w:t>
      </w:r>
      <w:r>
        <w:rPr>
          <w:rFonts w:eastAsia="Calibri"/>
          <w:sz w:val="28"/>
          <w:szCs w:val="28"/>
        </w:rPr>
        <w:t xml:space="preserve">,</w:t>
      </w:r>
      <w:r>
        <w:rPr>
          <w:rFonts w:eastAsia="Calibri"/>
          <w:sz w:val="28"/>
          <w:szCs w:val="28"/>
        </w:rPr>
        <w:t xml:space="preserve"> Новорічні свята,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виготовлення фотозон,  </w:t>
      </w:r>
      <w:r>
        <w:rPr>
          <w:rFonts w:eastAsia="Calibri"/>
          <w:sz w:val="28"/>
          <w:szCs w:val="28"/>
        </w:rPr>
        <w:t xml:space="preserve">виготовлення</w:t>
      </w:r>
      <w:r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декорацій, </w:t>
      </w:r>
      <w:r>
        <w:rPr>
          <w:rFonts w:eastAsia="Calibri"/>
          <w:sz w:val="28"/>
          <w:szCs w:val="28"/>
        </w:rPr>
        <w:t xml:space="preserve">банерів та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придбання </w:t>
      </w:r>
      <w:r>
        <w:rPr>
          <w:rFonts w:eastAsia="Calibri"/>
          <w:sz w:val="28"/>
          <w:szCs w:val="28"/>
        </w:rPr>
        <w:t xml:space="preserve">сувенірів для нагородження переможців  дитячих  конкурсів</w:t>
      </w:r>
      <w:r>
        <w:rPr>
          <w:rFonts w:eastAsia="Calibri"/>
          <w:sz w:val="28"/>
          <w:szCs w:val="28"/>
        </w:rPr>
        <w:t xml:space="preserve"> у сумі – </w:t>
      </w:r>
      <w:r>
        <w:rPr>
          <w:rFonts w:eastAsia="Calibri"/>
          <w:b/>
          <w:sz w:val="28"/>
          <w:szCs w:val="28"/>
        </w:rPr>
        <w:t xml:space="preserve">102 985,65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грн</w:t>
      </w:r>
      <w:r>
        <w:rPr>
          <w:rFonts w:eastAsia="Calibri"/>
          <w:sz w:val="28"/>
          <w:szCs w:val="28"/>
        </w:rPr>
        <w:t xml:space="preserve">. В 2025 році </w:t>
      </w:r>
      <w:r>
        <w:rPr>
          <w:rFonts w:eastAsia="Calibri"/>
          <w:sz w:val="28"/>
          <w:szCs w:val="28"/>
        </w:rPr>
        <w:t xml:space="preserve">пророблена велика робота по збереженню і популяризації культурних традицій Менського краю, як результат</w:t>
      </w:r>
      <w:r>
        <w:rPr>
          <w:rFonts w:eastAsia="Calibri"/>
          <w:sz w:val="28"/>
          <w:szCs w:val="28"/>
        </w:rPr>
        <w:t xml:space="preserve"> - </w:t>
      </w:r>
      <w:r>
        <w:rPr>
          <w:rFonts w:eastAsia="Calibri"/>
          <w:sz w:val="28"/>
          <w:szCs w:val="28"/>
          <w:shd w:val="clear" w:color="auto" w:fill="ffffff"/>
        </w:rPr>
        <w:t xml:space="preserve">елемент </w:t>
      </w:r>
      <w:bookmarkStart w:id="4" w:name="_Hlk227062274"/>
      <w:r>
        <w:rPr>
          <w:rFonts w:eastAsia="Calibri"/>
          <w:sz w:val="28"/>
          <w:szCs w:val="28"/>
          <w:shd w:val="clear" w:color="auto" w:fill="ffffff"/>
        </w:rPr>
        <w:t xml:space="preserve">нематеріальної культурної спадщини </w:t>
      </w:r>
      <w:bookmarkEnd w:id="4"/>
      <w:r>
        <w:rPr>
          <w:rFonts w:eastAsia="Calibri"/>
          <w:sz w:val="28"/>
          <w:szCs w:val="28"/>
          <w:shd w:val="clear" w:color="auto" w:fill="ffffff"/>
        </w:rPr>
        <w:t xml:space="preserve"> Менської громади “Синявські крохмальні вареники”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 xml:space="preserve">с. Синявка</w:t>
      </w:r>
      <w:r>
        <w:rPr>
          <w:rFonts w:eastAsia="Calibri"/>
          <w:sz w:val="28"/>
          <w:szCs w:val="28"/>
          <w:shd w:val="clear" w:color="auto" w:fill="ffffff"/>
        </w:rPr>
        <w:t xml:space="preserve"> внесений  до Переліку  елементів </w:t>
      </w:r>
      <w:r>
        <w:rPr>
          <w:rFonts w:eastAsia="Calibri"/>
          <w:sz w:val="28"/>
          <w:szCs w:val="28"/>
          <w:shd w:val="clear" w:color="auto" w:fill="ffffff"/>
        </w:rPr>
        <w:t xml:space="preserve">нематеріальної культурної спадщини</w:t>
      </w:r>
      <w:r>
        <w:rPr>
          <w:rFonts w:eastAsia="Calibri"/>
          <w:sz w:val="28"/>
          <w:szCs w:val="28"/>
          <w:shd w:val="clear" w:color="auto" w:fill="ffffff"/>
        </w:rPr>
        <w:t xml:space="preserve"> Чернігівської області</w:t>
      </w:r>
      <w:r>
        <w:rPr>
          <w:rFonts w:eastAsia="Calibri"/>
          <w:sz w:val="28"/>
          <w:szCs w:val="28"/>
          <w:shd w:val="clear" w:color="auto" w:fill="ffffff"/>
        </w:rPr>
        <w:t xml:space="preserve">. </w:t>
      </w:r>
      <w:r>
        <w:rPr>
          <w:rFonts w:eastAsia="Calibri"/>
          <w:sz w:val="28"/>
          <w:szCs w:val="28"/>
          <w:shd w:val="clear" w:color="auto" w:fill="ffffff"/>
        </w:rPr>
      </w:r>
      <w:r>
        <w:rPr>
          <w:rFonts w:eastAsia="Calibri"/>
          <w:sz w:val="28"/>
          <w:szCs w:val="28"/>
          <w:shd w:val="clear" w:color="auto" w:fill="ffffff"/>
        </w:rPr>
      </w:r>
    </w:p>
    <w:p>
      <w:pPr>
        <w:pStyle w:val="939"/>
        <w:numPr>
          <w:ilvl w:val="0"/>
          <w:numId w:val="3"/>
        </w:numPr>
        <w:suppressLineNumbers w:val="false"/>
        <w:pBdr/>
        <w:shd w:val="clear" w:color="auto" w:fill="ffffff"/>
        <w:spacing w:after="0" w:afterAutospacing="0" w:before="0" w:beforeAutospacing="0" w:line="233" w:lineRule="auto"/>
        <w:ind w:firstLine="567" w:left="0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 xml:space="preserve">друк </w:t>
      </w:r>
      <w:r>
        <w:rPr>
          <w:sz w:val="28"/>
          <w:szCs w:val="28"/>
          <w:lang w:eastAsia="ru-RU"/>
        </w:rPr>
        <w:t xml:space="preserve">брошур, придбання матеріалів для майстер- класів та сувенірів для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sz w:val="28"/>
          <w:szCs w:val="28"/>
          <w:lang w:eastAsia="ru-RU"/>
        </w:rPr>
        <w:t xml:space="preserve"> на</w:t>
      </w:r>
      <w:r>
        <w:rPr>
          <w:sz w:val="28"/>
          <w:szCs w:val="28"/>
          <w:lang w:eastAsia="ru-RU"/>
        </w:rPr>
        <w:t xml:space="preserve">городження переможців конкурсу “Кращий читач літа”</w:t>
      </w:r>
      <w:r>
        <w:rPr>
          <w:sz w:val="28"/>
          <w:szCs w:val="28"/>
          <w:lang w:eastAsia="ru-RU"/>
        </w:rPr>
        <w:t xml:space="preserve">, проведення заходу з популяризації творчості місцевих поетів "Поетичне мереживо Менщини" у сумі- </w:t>
      </w:r>
      <w:r>
        <w:rPr>
          <w:b/>
          <w:sz w:val="28"/>
          <w:szCs w:val="28"/>
          <w:lang w:eastAsia="ru-RU"/>
        </w:rPr>
        <w:t xml:space="preserve">9800</w:t>
      </w:r>
      <w:r>
        <w:rPr>
          <w:b/>
          <w:sz w:val="28"/>
          <w:szCs w:val="28"/>
          <w:lang w:eastAsia="ru-RU"/>
        </w:rPr>
        <w:t xml:space="preserve">,00</w:t>
      </w:r>
      <w:r>
        <w:rPr>
          <w:color w:val="ff0000"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грн.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Сучасні бібліотеки виконують важливу соціальну роль як комунікативний</w:t>
      </w:r>
      <w:r>
        <w:rPr>
          <w:sz w:val="28"/>
          <w:szCs w:val="28"/>
          <w:lang w:eastAsia="ru-RU"/>
        </w:rPr>
        <w:t xml:space="preserve"> та інформаційний</w:t>
      </w:r>
      <w:r>
        <w:rPr>
          <w:sz w:val="28"/>
          <w:szCs w:val="28"/>
          <w:lang w:eastAsia="ru-RU"/>
        </w:rPr>
        <w:t xml:space="preserve"> центр у житті нашої громади.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Послугами </w:t>
      </w:r>
      <w:r>
        <w:rPr>
          <w:sz w:val="28"/>
          <w:szCs w:val="28"/>
        </w:rPr>
        <w:t xml:space="preserve">бібліотек у звітному періоді скористалися </w:t>
      </w:r>
      <w:r>
        <w:rPr>
          <w:sz w:val="28"/>
          <w:szCs w:val="28"/>
        </w:rPr>
        <w:t xml:space="preserve">11060</w:t>
      </w:r>
      <w:r>
        <w:rPr>
          <w:sz w:val="28"/>
          <w:szCs w:val="28"/>
        </w:rPr>
        <w:t xml:space="preserve"> користувачів.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з</w:t>
      </w:r>
      <w:r>
        <w:rPr>
          <w:sz w:val="28"/>
          <w:szCs w:val="28"/>
        </w:rPr>
        <w:t xml:space="preserve">адоволення читацьких потреб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КЗ “Менська публічна бібліотека”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проведено передплату пе</w:t>
      </w:r>
      <w:r>
        <w:rPr>
          <w:sz w:val="28"/>
          <w:szCs w:val="28"/>
        </w:rPr>
        <w:t xml:space="preserve">ріодичних видань, </w:t>
      </w:r>
      <w:r>
        <w:rPr>
          <w:sz w:val="28"/>
          <w:szCs w:val="28"/>
        </w:rPr>
        <w:t xml:space="preserve">придба</w:t>
      </w:r>
      <w:r>
        <w:rPr>
          <w:sz w:val="28"/>
          <w:szCs w:val="28"/>
        </w:rPr>
        <w:t xml:space="preserve">но нові книги. В Менській публічній бібліотеці працює ляльковий театр, вистави якого переглянули діти не тільки</w:t>
      </w:r>
      <w:r>
        <w:rPr>
          <w:sz w:val="28"/>
          <w:szCs w:val="28"/>
        </w:rPr>
        <w:t xml:space="preserve"> маленькі читачі</w:t>
      </w:r>
      <w:r>
        <w:rPr>
          <w:sz w:val="28"/>
          <w:szCs w:val="28"/>
        </w:rPr>
        <w:t xml:space="preserve"> м. Мени а й навколишніх сіл.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39"/>
        <w:suppressLineNumbers w:val="false"/>
        <w:pBdr/>
        <w:shd w:val="clear" w:color="auto" w:fill="ffffff"/>
        <w:spacing w:after="0" w:afterAutospacing="0" w:before="0" w:beforeAutospacing="0"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початку року до</w:t>
      </w:r>
      <w:r>
        <w:rPr>
          <w:sz w:val="28"/>
          <w:szCs w:val="28"/>
        </w:rPr>
        <w:t xml:space="preserve"> КЗ “</w:t>
      </w:r>
      <w:r>
        <w:rPr>
          <w:sz w:val="28"/>
          <w:szCs w:val="28"/>
        </w:rPr>
        <w:t xml:space="preserve">Менській крає</w:t>
      </w:r>
      <w:r>
        <w:rPr>
          <w:sz w:val="28"/>
          <w:szCs w:val="28"/>
        </w:rPr>
        <w:t xml:space="preserve">знавчий музей ім. В.Ф. Покотила”</w:t>
      </w:r>
      <w:r>
        <w:rPr>
          <w:sz w:val="28"/>
          <w:szCs w:val="28"/>
        </w:rPr>
        <w:t xml:space="preserve"> надійшло більше </w:t>
      </w:r>
      <w:r>
        <w:rPr>
          <w:sz w:val="28"/>
          <w:szCs w:val="28"/>
        </w:rPr>
        <w:t xml:space="preserve">238</w:t>
      </w:r>
      <w:r>
        <w:rPr>
          <w:sz w:val="28"/>
          <w:szCs w:val="28"/>
        </w:rPr>
        <w:t xml:space="preserve"> експонат</w:t>
      </w:r>
      <w:r>
        <w:rPr>
          <w:sz w:val="28"/>
          <w:szCs w:val="28"/>
        </w:rPr>
        <w:t xml:space="preserve">ів</w:t>
      </w:r>
      <w:r>
        <w:rPr>
          <w:sz w:val="28"/>
          <w:szCs w:val="28"/>
        </w:rPr>
        <w:t xml:space="preserve">, які вже пройшли наукову інвентаризацію та поповнили експозиції.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ількість експонатів скла</w:t>
      </w:r>
      <w:r>
        <w:rPr>
          <w:sz w:val="28"/>
          <w:szCs w:val="28"/>
        </w:rPr>
        <w:t xml:space="preserve">ла</w:t>
      </w:r>
      <w:r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813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У 2025 році у музеї було проведено 152 екскурсії</w:t>
      </w:r>
      <w:r>
        <w:rPr>
          <w:sz w:val="28"/>
          <w:szCs w:val="28"/>
        </w:rPr>
        <w:t xml:space="preserve"> для 3100 відвідувачів.</w:t>
      </w:r>
      <w:r>
        <w:rPr>
          <w:sz w:val="28"/>
          <w:szCs w:val="28"/>
        </w:rPr>
        <w:t xml:space="preserve"> Створено нові експозиції на вшанування пам’яті загиблих воїнів-земляків.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true"/>
        <w:suppressLineNumbers w:val="false"/>
        <w:pBdr/>
        <w:spacing w:line="233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</w:r>
      <w:r>
        <w:rPr>
          <w:rFonts w:eastAsia="Calibri"/>
          <w:sz w:val="28"/>
          <w:szCs w:val="28"/>
          <w:lang w:eastAsia="ru-RU"/>
        </w:rPr>
        <w:t xml:space="preserve">У</w:t>
      </w:r>
      <w:r>
        <w:rPr>
          <w:rFonts w:eastAsia="Calibri"/>
          <w:sz w:val="28"/>
          <w:szCs w:val="28"/>
          <w:lang w:eastAsia="ru-RU"/>
        </w:rPr>
        <w:t xml:space="preserve"> приміщенні КЗ “</w:t>
      </w:r>
      <w:r>
        <w:rPr>
          <w:rFonts w:eastAsia="Calibri"/>
          <w:sz w:val="28"/>
          <w:szCs w:val="28"/>
          <w:lang w:eastAsia="ru-RU"/>
        </w:rPr>
        <w:t xml:space="preserve">Це</w:t>
      </w:r>
      <w:r>
        <w:rPr>
          <w:rFonts w:eastAsia="Calibri"/>
          <w:sz w:val="28"/>
          <w:szCs w:val="28"/>
          <w:lang w:eastAsia="ru-RU"/>
        </w:rPr>
        <w:t xml:space="preserve">нтр культури та дозвілля молоді”</w:t>
      </w:r>
      <w:r>
        <w:rPr>
          <w:rFonts w:eastAsia="Calibri"/>
          <w:sz w:val="28"/>
          <w:szCs w:val="28"/>
          <w:lang w:eastAsia="ru-RU"/>
        </w:rPr>
        <w:t xml:space="preserve"> продовжують активно працювати молодіжні простори </w:t>
      </w:r>
      <w:r>
        <w:rPr>
          <w:rFonts w:eastAsia="Calibri"/>
          <w:sz w:val="28"/>
          <w:szCs w:val="28"/>
          <w:lang w:eastAsia="ru-RU"/>
        </w:rPr>
        <w:t xml:space="preserve">“Ko_Laba” та FREEDOM SPACE</w:t>
      </w:r>
      <w:r>
        <w:rPr>
          <w:rFonts w:eastAsia="Calibri"/>
          <w:sz w:val="28"/>
          <w:szCs w:val="28"/>
          <w:lang w:eastAsia="ru-RU"/>
        </w:rPr>
        <w:t xml:space="preserve">,</w:t>
      </w:r>
      <w:r>
        <w:rPr>
          <w:rFonts w:eastAsia="Calibri"/>
          <w:sz w:val="28"/>
          <w:szCs w:val="28"/>
          <w:lang w:eastAsia="ru-RU"/>
        </w:rPr>
        <w:t xml:space="preserve"> де</w:t>
      </w:r>
      <w:r>
        <w:rPr>
          <w:rFonts w:eastAsia="Calibri"/>
          <w:sz w:val="28"/>
          <w:szCs w:val="28"/>
        </w:rPr>
        <w:t xml:space="preserve"> було проведено </w:t>
      </w:r>
      <w:r>
        <w:rPr>
          <w:rFonts w:eastAsia="Calibri"/>
          <w:sz w:val="28"/>
          <w:szCs w:val="28"/>
        </w:rPr>
        <w:t xml:space="preserve">317</w:t>
      </w:r>
      <w:r>
        <w:rPr>
          <w:rFonts w:eastAsia="Calibri"/>
          <w:sz w:val="28"/>
          <w:szCs w:val="28"/>
        </w:rPr>
        <w:t xml:space="preserve"> заходів,</w:t>
      </w:r>
      <w:r>
        <w:rPr>
          <w:rFonts w:eastAsia="Calibri"/>
          <w:sz w:val="28"/>
          <w:szCs w:val="28"/>
        </w:rPr>
        <w:t xml:space="preserve"> більшість з них - </w:t>
      </w:r>
      <w:r>
        <w:rPr>
          <w:rFonts w:eastAsia="Calibri"/>
          <w:sz w:val="28"/>
          <w:szCs w:val="28"/>
        </w:rPr>
        <w:t xml:space="preserve">дозвіллєвого,</w:t>
      </w:r>
      <w:r>
        <w:rPr>
          <w:rFonts w:eastAsia="Calibri"/>
          <w:sz w:val="28"/>
          <w:szCs w:val="28"/>
        </w:rPr>
        <w:t xml:space="preserve"> освітнього,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благодійного</w:t>
      </w:r>
      <w:r>
        <w:rPr>
          <w:rFonts w:eastAsia="Calibri"/>
          <w:sz w:val="28"/>
          <w:szCs w:val="28"/>
        </w:rPr>
        <w:t xml:space="preserve"> та безпекового</w:t>
      </w:r>
      <w:r>
        <w:rPr>
          <w:rFonts w:eastAsia="Calibri"/>
          <w:sz w:val="28"/>
          <w:szCs w:val="28"/>
        </w:rPr>
        <w:t xml:space="preserve"> напрямку</w:t>
      </w:r>
      <w:r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Організовувались</w:t>
      </w:r>
      <w:r>
        <w:rPr>
          <w:rFonts w:eastAsia="Calibri"/>
          <w:sz w:val="28"/>
          <w:szCs w:val="28"/>
        </w:rPr>
        <w:t xml:space="preserve"> перегляди кінофільмів і мультфільмів для різних аудиторій</w:t>
      </w:r>
      <w:r>
        <w:rPr>
          <w:rFonts w:eastAsia="Calibri"/>
          <w:sz w:val="28"/>
          <w:szCs w:val="28"/>
        </w:rPr>
        <w:t xml:space="preserve">. У 2025 році заклад в</w:t>
      </w:r>
      <w:r>
        <w:rPr>
          <w:rFonts w:eastAsia="Calibri"/>
          <w:sz w:val="28"/>
          <w:szCs w:val="28"/>
        </w:rPr>
        <w:t xml:space="preserve">ідвідало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21 332 особи.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widowControl w:val="true"/>
        <w:suppressLineNumbers w:val="false"/>
        <w:pBdr/>
        <w:spacing w:line="233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 xml:space="preserve">Справжнім осередком розвитку ми</w:t>
      </w:r>
      <w:r>
        <w:rPr>
          <w:sz w:val="28"/>
          <w:szCs w:val="28"/>
          <w:lang w:eastAsia="ru-RU"/>
        </w:rPr>
        <w:t xml:space="preserve">стецької освіти в громаді є КЗ “Менська школа мистецтв”</w:t>
      </w:r>
      <w:r>
        <w:rPr>
          <w:sz w:val="28"/>
          <w:szCs w:val="28"/>
          <w:lang w:eastAsia="ru-RU"/>
        </w:rPr>
        <w:t xml:space="preserve"> -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заклад початкової спеціал</w:t>
      </w:r>
      <w:r>
        <w:rPr>
          <w:sz w:val="28"/>
          <w:szCs w:val="28"/>
          <w:lang w:eastAsia="ru-RU"/>
        </w:rPr>
        <w:t xml:space="preserve">ізованої мистецької освіти. Він</w:t>
      </w:r>
      <w:r>
        <w:rPr>
          <w:sz w:val="28"/>
          <w:szCs w:val="28"/>
          <w:lang w:eastAsia="ru-RU"/>
        </w:rPr>
        <w:t xml:space="preserve"> є міцним фундаментом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на якому базується музичний світ громади, невід’ємною складовою формування і виховання духовної та художньо-естетичної культури особистості нашого суспільства. Мистецькою освітою охоплено 203 учні.  </w:t>
      </w:r>
      <w:r>
        <w:rPr>
          <w:sz w:val="28"/>
          <w:szCs w:val="28"/>
          <w:lang w:eastAsia="ru-RU"/>
        </w:rPr>
        <w:t xml:space="preserve">В 2025 році була профінансована разова фінансова допомога учням та творчим колективам школи мистецтв у сумі- </w:t>
      </w:r>
      <w:r>
        <w:rPr>
          <w:b/>
          <w:sz w:val="28"/>
          <w:szCs w:val="28"/>
          <w:lang w:eastAsia="ru-RU"/>
        </w:rPr>
        <w:t xml:space="preserve">191 298,64 грн</w:t>
      </w:r>
      <w:r>
        <w:rPr>
          <w:sz w:val="28"/>
          <w:szCs w:val="28"/>
          <w:lang w:eastAsia="ru-RU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widowControl w:val="true"/>
        <w:suppressLineNumbers w:val="false"/>
        <w:pBdr/>
        <w:spacing w:line="233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Вихованці</w:t>
      </w:r>
      <w:r>
        <w:rPr>
          <w:rFonts w:eastAsia="Calibri"/>
          <w:sz w:val="28"/>
          <w:szCs w:val="28"/>
        </w:rPr>
        <w:t xml:space="preserve"> Менської школи мистецтв є постійними учасниками творчих</w:t>
      </w:r>
      <w:r>
        <w:rPr>
          <w:rFonts w:eastAsia="Calibri"/>
          <w:sz w:val="28"/>
          <w:szCs w:val="28"/>
        </w:rPr>
        <w:t xml:space="preserve"> та культурних</w:t>
      </w:r>
      <w:r>
        <w:rPr>
          <w:rFonts w:eastAsia="Calibri"/>
          <w:sz w:val="28"/>
          <w:szCs w:val="28"/>
        </w:rPr>
        <w:t xml:space="preserve"> заходів Менської громади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 Міжнародних, </w:t>
      </w:r>
      <w:r>
        <w:rPr>
          <w:rFonts w:eastAsia="Calibri"/>
          <w:sz w:val="28"/>
          <w:szCs w:val="28"/>
        </w:rPr>
        <w:t xml:space="preserve">В</w:t>
      </w:r>
      <w:r>
        <w:rPr>
          <w:rFonts w:eastAsia="Calibri"/>
          <w:sz w:val="28"/>
          <w:szCs w:val="28"/>
        </w:rPr>
        <w:t xml:space="preserve">сеукраїнських та обласних конкурс</w:t>
      </w:r>
      <w:r>
        <w:rPr>
          <w:rFonts w:eastAsia="Calibri"/>
          <w:sz w:val="28"/>
          <w:szCs w:val="28"/>
        </w:rPr>
        <w:t xml:space="preserve">ів</w:t>
      </w:r>
      <w:r>
        <w:rPr>
          <w:rFonts w:eastAsia="Calibri"/>
          <w:sz w:val="28"/>
          <w:szCs w:val="28"/>
        </w:rPr>
        <w:t xml:space="preserve">.   </w:t>
      </w:r>
      <w:r>
        <w:rPr>
          <w:rFonts w:eastAsia="Calibri"/>
          <w:sz w:val="28"/>
          <w:szCs w:val="28"/>
        </w:rPr>
        <w:t xml:space="preserve">За звітній період КЗ “Менська школа мистецтв”</w:t>
      </w:r>
      <w:r>
        <w:rPr>
          <w:rFonts w:eastAsia="Calibri"/>
          <w:sz w:val="28"/>
          <w:szCs w:val="28"/>
        </w:rPr>
        <w:t xml:space="preserve"> забезпечив належний рівень освітньої культурної та виховної роботи. Колектив працює над подальшим розвитком навчального процесу, участю в культурному житті громади та підвищенням якості освітніх послуг</w:t>
      </w:r>
      <w:r>
        <w:rPr>
          <w:rFonts w:eastAsia="Calibri"/>
          <w:sz w:val="28"/>
          <w:szCs w:val="28"/>
        </w:rPr>
        <w:t xml:space="preserve"> та покращенням матеріального забезпечення закладу.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uppressLineNumbers w:val="false"/>
        <w:pBdr/>
        <w:tabs>
          <w:tab w:val="left" w:leader="none" w:pos="993"/>
        </w:tabs>
        <w:spacing w:line="233" w:lineRule="auto"/>
        <w:ind w:firstLine="567"/>
        <w:jc w:val="both"/>
        <w:rPr>
          <w:rFonts w:eastAsia="Calibri"/>
          <w:sz w:val="26"/>
          <w:szCs w:val="28"/>
        </w:rPr>
      </w:pPr>
      <w:r>
        <w:rPr>
          <w:rFonts w:eastAsia="Calibri"/>
          <w:sz w:val="28"/>
          <w:szCs w:val="28"/>
        </w:rPr>
        <w:t xml:space="preserve">На сьогоднішній день заклади культури працюють в повному форматі із дещо зміненим графіком роботи.</w:t>
      </w:r>
      <w:r>
        <w:rPr>
          <w:rFonts w:eastAsia="Calibri"/>
          <w:sz w:val="26"/>
          <w:szCs w:val="28"/>
        </w:rPr>
        <w:t xml:space="preserve"> Приміщення клубів та бібліотек перетворились на пункти збору продуктів та допомоги воїнам. Плетіння маскувальних сіток продовжується до сьогодні. </w:t>
      </w:r>
      <w:r>
        <w:rPr>
          <w:rFonts w:eastAsia="Calibri"/>
          <w:sz w:val="26"/>
          <w:szCs w:val="28"/>
        </w:rPr>
      </w:r>
      <w:r>
        <w:rPr>
          <w:rFonts w:eastAsia="Calibri"/>
          <w:sz w:val="26"/>
          <w:szCs w:val="28"/>
        </w:rPr>
      </w:r>
    </w:p>
    <w:p>
      <w:pPr>
        <w:widowControl w:val="true"/>
        <w:suppressLineNumbers w:val="false"/>
        <w:pBdr/>
        <w:spacing w:line="233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Програма є актуальною для подальшої її реалізації, з метою забезпечення конституційно</w:t>
      </w:r>
      <w:r>
        <w:rPr>
          <w:rFonts w:eastAsia="Calibri"/>
          <w:sz w:val="28"/>
          <w:szCs w:val="28"/>
        </w:rPr>
        <w:t xml:space="preserve">го права мешканців громади на задоволення культурних потреб, підвищення народної та професійної творчості, сприяння зростанню духовного, культурного та мистецького потенціалу, популяризації культурно-освітніх заходів щодо фо</w:t>
      </w:r>
      <w:r>
        <w:rPr>
          <w:rFonts w:eastAsia="Calibri"/>
          <w:sz w:val="28"/>
          <w:szCs w:val="28"/>
        </w:rPr>
        <w:t xml:space="preserve">рмування патріотичних почуттів.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31"/>
        <w:pBdr/>
        <w:spacing w:line="233" w:lineRule="auto"/>
        <w:ind w:hanging="115"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931"/>
        <w:pBdr/>
        <w:spacing w:line="233" w:lineRule="auto"/>
        <w:ind w:hanging="115"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931"/>
        <w:pBdr/>
        <w:spacing w:line="233" w:lineRule="auto"/>
        <w:ind w:hanging="115" w:left="0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szCs w:val="28"/>
        </w:rPr>
        <w:t xml:space="preserve">Начальник</w:t>
      </w:r>
      <w:r>
        <w:rPr>
          <w:spacing w:val="-2"/>
          <w:sz w:val="28"/>
          <w:szCs w:val="28"/>
        </w:rPr>
        <w:t xml:space="preserve"> Відділу культури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pStyle w:val="931"/>
        <w:pBdr/>
        <w:spacing w:line="233" w:lineRule="auto"/>
        <w:ind w:hanging="115"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Менської міської ради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С</w:t>
      </w:r>
      <w:r>
        <w:rPr>
          <w:spacing w:val="-2"/>
          <w:sz w:val="28"/>
          <w:szCs w:val="28"/>
        </w:rPr>
        <w:t xml:space="preserve">вітлана ШЕЛУДЬКО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40" w:orient="portrait" w:w="11900"/>
      <w:pgMar w:top="1134" w:right="567" w:bottom="1134" w:left="1701" w:header="71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tabs>
        <w:tab w:val="clear" w:leader="none" w:pos="4677"/>
        <w:tab w:val="clear" w:leader="none" w:pos="9355"/>
      </w:tabs>
      <w:spacing/>
      <w:ind/>
      <w:jc w:val="right"/>
      <w:rPr/>
    </w:pPr>
    <w:fldSimple w:instr="PAGE \* MERGEFORMAT">
      <w:r>
        <w:t xml:space="preserve">1</w:t>
      </w:r>
    </w:fldSimple>
    <w:r/>
    <w:r>
      <w:t xml:space="preserve">                                                    продовження додатка</w:t>
    </w:r>
    <w:r/>
  </w:p>
  <w:p>
    <w:pPr>
      <w:pStyle w:val="93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401E"/>
    <w:lvl w:ilvl="0">
      <w:isLgl w:val="false"/>
      <w:lvlJc w:val="left"/>
      <w:lvlText w:val="-"/>
      <w:numFmt w:val="bullet"/>
      <w:pPr>
        <w:pBdr/>
        <w:spacing/>
        <w:ind w:hanging="360" w:left="1183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0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2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4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6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8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0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2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43"/>
      </w:pPr>
      <w:rPr>
        <w:rFonts w:hint="default" w:ascii="Wingdings" w:hAnsi="Wingdings"/>
      </w:rPr>
      <w:start w:val="1"/>
      <w:suff w:val="tab"/>
    </w:lvl>
  </w:abstractNum>
  <w:abstractNum w:abstractNumId="1">
    <w:nsid w:val="0D080CBC"/>
    <w:lvl w:ilvl="0">
      <w:isLgl w:val="false"/>
      <w:lvlJc w:val="left"/>
      <w:lvlText w:val="-"/>
      <w:numFmt w:val="bullet"/>
      <w:pPr>
        <w:pBdr/>
        <w:spacing/>
        <w:ind w:hanging="360" w:left="926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6"/>
      </w:pPr>
      <w:rPr>
        <w:rFonts w:hint="default" w:ascii="Wingdings" w:hAnsi="Wingdings"/>
      </w:rPr>
      <w:start w:val="1"/>
      <w:suff w:val="tab"/>
    </w:lvl>
  </w:abstractNum>
  <w:abstractNum w:abstractNumId="2">
    <w:nsid w:val="5099315B"/>
    <w:lvl w:ilvl="0">
      <w:isLgl w:val="false"/>
      <w:lvlJc w:val="left"/>
      <w:lvlText w:val="-"/>
      <w:numFmt w:val="bullet"/>
      <w:pPr>
        <w:pBdr/>
        <w:spacing/>
        <w:ind w:hanging="360" w:left="78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4">
    <w:name w:val="Table Grid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Table Grid Light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1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2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1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2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3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5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6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1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2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3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4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5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6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1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2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3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4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5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6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0">
    <w:name w:val="Heading 2"/>
    <w:basedOn w:val="925"/>
    <w:next w:val="925"/>
    <w:link w:val="9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1">
    <w:name w:val="Heading 3"/>
    <w:basedOn w:val="925"/>
    <w:next w:val="925"/>
    <w:link w:val="87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2">
    <w:name w:val="Heading 4"/>
    <w:basedOn w:val="925"/>
    <w:next w:val="925"/>
    <w:link w:val="88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3">
    <w:name w:val="Heading 5"/>
    <w:basedOn w:val="925"/>
    <w:next w:val="925"/>
    <w:link w:val="88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4">
    <w:name w:val="Heading 6"/>
    <w:basedOn w:val="925"/>
    <w:next w:val="925"/>
    <w:link w:val="88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5">
    <w:name w:val="Heading 7"/>
    <w:basedOn w:val="925"/>
    <w:next w:val="925"/>
    <w:link w:val="88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6">
    <w:name w:val="Heading 8"/>
    <w:basedOn w:val="925"/>
    <w:next w:val="925"/>
    <w:link w:val="88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7">
    <w:name w:val="Heading 9"/>
    <w:basedOn w:val="925"/>
    <w:next w:val="925"/>
    <w:link w:val="88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8">
    <w:name w:val="Heading 1 Char"/>
    <w:basedOn w:val="927"/>
    <w:link w:val="9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9">
    <w:name w:val="Heading 3 Char"/>
    <w:basedOn w:val="927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0">
    <w:name w:val="Heading 4 Char"/>
    <w:basedOn w:val="927"/>
    <w:link w:val="87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1">
    <w:name w:val="Heading 5 Char"/>
    <w:basedOn w:val="927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2">
    <w:name w:val="Heading 6 Char"/>
    <w:basedOn w:val="927"/>
    <w:link w:val="8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3">
    <w:name w:val="Heading 7 Char"/>
    <w:basedOn w:val="927"/>
    <w:link w:val="8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4">
    <w:name w:val="Heading 8 Char"/>
    <w:basedOn w:val="927"/>
    <w:link w:val="8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5">
    <w:name w:val="Heading 9 Char"/>
    <w:basedOn w:val="927"/>
    <w:link w:val="8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6">
    <w:name w:val="Title"/>
    <w:basedOn w:val="925"/>
    <w:next w:val="925"/>
    <w:link w:val="88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7">
    <w:name w:val="Title Char"/>
    <w:basedOn w:val="927"/>
    <w:link w:val="8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8">
    <w:name w:val="Subtitle"/>
    <w:basedOn w:val="925"/>
    <w:next w:val="925"/>
    <w:link w:val="88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9">
    <w:name w:val="Subtitle Char"/>
    <w:basedOn w:val="927"/>
    <w:link w:val="8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0">
    <w:name w:val="Quote"/>
    <w:basedOn w:val="925"/>
    <w:next w:val="925"/>
    <w:link w:val="89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1">
    <w:name w:val="Quote Char"/>
    <w:basedOn w:val="927"/>
    <w:link w:val="8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Intense Emphasis"/>
    <w:basedOn w:val="9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3">
    <w:name w:val="Intense Quote"/>
    <w:basedOn w:val="925"/>
    <w:next w:val="925"/>
    <w:link w:val="89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4">
    <w:name w:val="Intense Quote Char"/>
    <w:basedOn w:val="927"/>
    <w:link w:val="89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5">
    <w:name w:val="Intense Reference"/>
    <w:basedOn w:val="9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6">
    <w:name w:val="No Spacing"/>
    <w:basedOn w:val="925"/>
    <w:uiPriority w:val="1"/>
    <w:qFormat/>
    <w:pPr>
      <w:pBdr/>
      <w:spacing w:after="0" w:line="240" w:lineRule="auto"/>
      <w:ind/>
    </w:pPr>
  </w:style>
  <w:style w:type="character" w:styleId="897">
    <w:name w:val="Subtle Emphasis"/>
    <w:basedOn w:val="9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Emphasis"/>
    <w:basedOn w:val="927"/>
    <w:uiPriority w:val="20"/>
    <w:qFormat/>
    <w:pPr>
      <w:pBdr/>
      <w:spacing/>
      <w:ind/>
    </w:pPr>
    <w:rPr>
      <w:i/>
      <w:iCs/>
    </w:rPr>
  </w:style>
  <w:style w:type="character" w:styleId="899">
    <w:name w:val="Strong"/>
    <w:basedOn w:val="927"/>
    <w:uiPriority w:val="22"/>
    <w:qFormat/>
    <w:pPr>
      <w:pBdr/>
      <w:spacing/>
      <w:ind/>
    </w:pPr>
    <w:rPr>
      <w:b/>
      <w:bCs/>
    </w:rPr>
  </w:style>
  <w:style w:type="character" w:styleId="900">
    <w:name w:val="Subtle Reference"/>
    <w:basedOn w:val="9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1">
    <w:name w:val="Book Title"/>
    <w:basedOn w:val="9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2">
    <w:name w:val="Header Char"/>
    <w:basedOn w:val="927"/>
    <w:link w:val="935"/>
    <w:uiPriority w:val="99"/>
    <w:pPr>
      <w:pBdr/>
      <w:spacing/>
      <w:ind/>
    </w:pPr>
  </w:style>
  <w:style w:type="character" w:styleId="903">
    <w:name w:val="Footer Char"/>
    <w:basedOn w:val="927"/>
    <w:link w:val="937"/>
    <w:uiPriority w:val="99"/>
    <w:pPr>
      <w:pBdr/>
      <w:spacing/>
      <w:ind/>
    </w:pPr>
  </w:style>
  <w:style w:type="paragraph" w:styleId="904">
    <w:name w:val="Caption"/>
    <w:basedOn w:val="925"/>
    <w:next w:val="9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5">
    <w:name w:val="footnote text"/>
    <w:basedOn w:val="925"/>
    <w:link w:val="9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6">
    <w:name w:val="Footnote Text Char"/>
    <w:basedOn w:val="927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footnote reference"/>
    <w:basedOn w:val="927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925"/>
    <w:link w:val="9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9">
    <w:name w:val="Endnote Text Char"/>
    <w:basedOn w:val="927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910">
    <w:name w:val="endnote reference"/>
    <w:basedOn w:val="927"/>
    <w:uiPriority w:val="99"/>
    <w:semiHidden/>
    <w:unhideWhenUsed/>
    <w:pPr>
      <w:pBdr/>
      <w:spacing/>
      <w:ind/>
    </w:pPr>
    <w:rPr>
      <w:vertAlign w:val="superscript"/>
    </w:rPr>
  </w:style>
  <w:style w:type="character" w:styleId="911">
    <w:name w:val="Hyperlink"/>
    <w:basedOn w:val="92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2">
    <w:name w:val="FollowedHyperlink"/>
    <w:basedOn w:val="9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3">
    <w:name w:val="toc 1"/>
    <w:basedOn w:val="925"/>
    <w:next w:val="925"/>
    <w:uiPriority w:val="39"/>
    <w:unhideWhenUsed/>
    <w:pPr>
      <w:pBdr/>
      <w:spacing w:after="100"/>
      <w:ind/>
    </w:pPr>
  </w:style>
  <w:style w:type="paragraph" w:styleId="914">
    <w:name w:val="toc 2"/>
    <w:basedOn w:val="925"/>
    <w:next w:val="925"/>
    <w:uiPriority w:val="39"/>
    <w:unhideWhenUsed/>
    <w:pPr>
      <w:pBdr/>
      <w:spacing w:after="100"/>
      <w:ind w:left="220"/>
    </w:pPr>
  </w:style>
  <w:style w:type="paragraph" w:styleId="915">
    <w:name w:val="toc 3"/>
    <w:basedOn w:val="925"/>
    <w:next w:val="925"/>
    <w:uiPriority w:val="39"/>
    <w:unhideWhenUsed/>
    <w:pPr>
      <w:pBdr/>
      <w:spacing w:after="100"/>
      <w:ind w:left="440"/>
    </w:pPr>
  </w:style>
  <w:style w:type="paragraph" w:styleId="916">
    <w:name w:val="toc 4"/>
    <w:basedOn w:val="925"/>
    <w:next w:val="925"/>
    <w:uiPriority w:val="39"/>
    <w:unhideWhenUsed/>
    <w:pPr>
      <w:pBdr/>
      <w:spacing w:after="100"/>
      <w:ind w:left="660"/>
    </w:pPr>
  </w:style>
  <w:style w:type="paragraph" w:styleId="917">
    <w:name w:val="toc 5"/>
    <w:basedOn w:val="925"/>
    <w:next w:val="925"/>
    <w:uiPriority w:val="39"/>
    <w:unhideWhenUsed/>
    <w:pPr>
      <w:pBdr/>
      <w:spacing w:after="100"/>
      <w:ind w:left="880"/>
    </w:pPr>
  </w:style>
  <w:style w:type="paragraph" w:styleId="918">
    <w:name w:val="toc 6"/>
    <w:basedOn w:val="925"/>
    <w:next w:val="925"/>
    <w:uiPriority w:val="39"/>
    <w:unhideWhenUsed/>
    <w:pPr>
      <w:pBdr/>
      <w:spacing w:after="100"/>
      <w:ind w:left="1100"/>
    </w:pPr>
  </w:style>
  <w:style w:type="paragraph" w:styleId="919">
    <w:name w:val="toc 7"/>
    <w:basedOn w:val="925"/>
    <w:next w:val="925"/>
    <w:uiPriority w:val="39"/>
    <w:unhideWhenUsed/>
    <w:pPr>
      <w:pBdr/>
      <w:spacing w:after="100"/>
      <w:ind w:left="1320"/>
    </w:pPr>
  </w:style>
  <w:style w:type="paragraph" w:styleId="920">
    <w:name w:val="toc 8"/>
    <w:basedOn w:val="925"/>
    <w:next w:val="925"/>
    <w:uiPriority w:val="39"/>
    <w:unhideWhenUsed/>
    <w:pPr>
      <w:pBdr/>
      <w:spacing w:after="100"/>
      <w:ind w:left="1540"/>
    </w:pPr>
  </w:style>
  <w:style w:type="paragraph" w:styleId="921">
    <w:name w:val="toc 9"/>
    <w:basedOn w:val="925"/>
    <w:next w:val="925"/>
    <w:uiPriority w:val="39"/>
    <w:unhideWhenUsed/>
    <w:pPr>
      <w:pBdr/>
      <w:spacing w:after="100"/>
      <w:ind w:left="1760"/>
    </w:pPr>
  </w:style>
  <w:style w:type="character" w:styleId="922">
    <w:name w:val="Placeholder Text"/>
    <w:basedOn w:val="927"/>
    <w:uiPriority w:val="99"/>
    <w:semiHidden/>
    <w:pPr>
      <w:pBdr/>
      <w:spacing/>
      <w:ind/>
    </w:pPr>
    <w:rPr>
      <w:color w:val="666666"/>
    </w:rPr>
  </w:style>
  <w:style w:type="paragraph" w:styleId="923">
    <w:name w:val="TOC Heading"/>
    <w:uiPriority w:val="39"/>
    <w:unhideWhenUsed/>
    <w:pPr>
      <w:pBdr/>
      <w:spacing/>
      <w:ind/>
    </w:pPr>
  </w:style>
  <w:style w:type="paragraph" w:styleId="924">
    <w:name w:val="table of figures"/>
    <w:basedOn w:val="925"/>
    <w:next w:val="925"/>
    <w:uiPriority w:val="99"/>
    <w:unhideWhenUsed/>
    <w:pPr>
      <w:pBdr/>
      <w:spacing w:after="0" w:afterAutospacing="0"/>
      <w:ind/>
    </w:pPr>
  </w:style>
  <w:style w:type="paragraph" w:styleId="925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926">
    <w:name w:val="Heading 1"/>
    <w:basedOn w:val="925"/>
    <w:uiPriority w:val="1"/>
    <w:qFormat/>
    <w:pPr>
      <w:pBdr/>
      <w:spacing/>
      <w:ind w:right="117" w:firstLine="708" w:left="115"/>
      <w:jc w:val="both"/>
      <w:outlineLvl w:val="0"/>
    </w:pPr>
    <w:rPr>
      <w:sz w:val="28"/>
      <w:szCs w:val="28"/>
    </w:rPr>
  </w:style>
  <w:style w:type="character" w:styleId="927" w:default="1">
    <w:name w:val="Default Paragraph Font"/>
    <w:uiPriority w:val="1"/>
    <w:semiHidden/>
    <w:unhideWhenUsed/>
    <w:pPr>
      <w:pBdr/>
      <w:spacing/>
      <w:ind/>
    </w:pPr>
  </w:style>
  <w:style w:type="table" w:styleId="9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9" w:default="1">
    <w:name w:val="No List"/>
    <w:uiPriority w:val="99"/>
    <w:semiHidden/>
    <w:unhideWhenUsed/>
    <w:pPr>
      <w:pBdr/>
      <w:spacing/>
      <w:ind/>
    </w:pPr>
  </w:style>
  <w:style w:type="table" w:styleId="930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1">
    <w:name w:val="Body Text"/>
    <w:basedOn w:val="925"/>
    <w:uiPriority w:val="1"/>
    <w:qFormat/>
    <w:pPr>
      <w:pBdr/>
      <w:spacing/>
      <w:ind w:left="115"/>
      <w:jc w:val="both"/>
    </w:pPr>
    <w:rPr>
      <w:sz w:val="27"/>
      <w:szCs w:val="27"/>
    </w:rPr>
  </w:style>
  <w:style w:type="paragraph" w:styleId="932">
    <w:name w:val="List Paragraph"/>
    <w:basedOn w:val="925"/>
    <w:uiPriority w:val="1"/>
    <w:qFormat/>
    <w:pPr>
      <w:pBdr/>
      <w:spacing/>
      <w:ind/>
    </w:pPr>
  </w:style>
  <w:style w:type="paragraph" w:styleId="933" w:customStyle="1">
    <w:name w:val="Table Paragraph"/>
    <w:basedOn w:val="925"/>
    <w:uiPriority w:val="1"/>
    <w:qFormat/>
    <w:pPr>
      <w:pBdr/>
      <w:spacing/>
      <w:ind/>
    </w:pPr>
  </w:style>
  <w:style w:type="paragraph" w:styleId="934">
    <w:name w:val="Normal (Web)"/>
    <w:basedOn w:val="925"/>
    <w:uiPriority w:val="99"/>
    <w:pPr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35">
    <w:name w:val="Header"/>
    <w:basedOn w:val="925"/>
    <w:link w:val="93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6" w:customStyle="1">
    <w:name w:val="Верхний колонтитул Знак"/>
    <w:basedOn w:val="927"/>
    <w:link w:val="935"/>
    <w:uiPriority w:val="99"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937">
    <w:name w:val="Footer"/>
    <w:basedOn w:val="925"/>
    <w:link w:val="93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8" w:customStyle="1">
    <w:name w:val="Нижний колонтитул Знак"/>
    <w:basedOn w:val="927"/>
    <w:link w:val="937"/>
    <w:uiPriority w:val="99"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939" w:customStyle="1">
    <w:name w:val="western"/>
    <w:basedOn w:val="925"/>
    <w:pPr>
      <w:widowControl w:val="true"/>
      <w:pBdr/>
      <w:spacing w:after="100" w:afterAutospacing="1" w:before="100" w:beforeAutospacing="1"/>
      <w:ind/>
    </w:pPr>
    <w:rPr>
      <w:sz w:val="24"/>
      <w:szCs w:val="24"/>
      <w:lang w:eastAsia="uk-UA"/>
    </w:rPr>
  </w:style>
  <w:style w:type="character" w:styleId="940" w:customStyle="1">
    <w:name w:val="rvts23"/>
    <w:basedOn w:val="927"/>
    <w:pPr>
      <w:pBdr/>
      <w:spacing/>
      <w:ind/>
    </w:pPr>
  </w:style>
  <w:style w:type="character" w:styleId="941" w:customStyle="1">
    <w:name w:val="Heading 2 Char"/>
    <w:basedOn w:val="927"/>
    <w:uiPriority w:val="9"/>
    <w:pPr>
      <w:pBdr/>
      <w:spacing/>
      <w:ind/>
    </w:pPr>
    <w:rPr>
      <w:rFonts w:ascii="Arial" w:hAnsi="Arial" w:eastAsia="Arial" w:cs="Arial"/>
      <w:sz w:val="3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B44E3-5FD5-476F-84B0-8658307D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виконання  Програми розвитку культури і туризму за 9 місяців 2016-20161109125834</dc:title>
  <dc:creator>Администратор</dc:creator>
  <cp:keywords>()</cp:keywords>
  <cp:lastModifiedBy>СТАЛЬНИЧЕНКО Юрій Валерійович</cp:lastModifiedBy>
  <cp:revision>6</cp:revision>
  <dcterms:created xsi:type="dcterms:W3CDTF">2026-04-14T13:12:00Z</dcterms:created>
  <dcterms:modified xsi:type="dcterms:W3CDTF">2026-04-18T10:37:05Z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2022-12-01T00:00:00Z</vt:filetime>
  </property>
</Properties>
</file>