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</w:rPr>
      </w:pPr>
      <w:r>
        <w:rPr>
          <w:color w:val="000000"/>
          <w:sz w:val="28"/>
        </w:rPr>
        <w:t xml:space="preserve">Додаток  </w:t>
      </w:r>
      <w:r>
        <w:rPr>
          <w:color w:val="000000"/>
        </w:rPr>
      </w:r>
      <w:r>
        <w:rPr>
          <w:color w:val="000000"/>
        </w:rPr>
      </w:r>
    </w:p>
    <w:p>
      <w:pPr>
        <w:pStyle w:val="72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</w:rPr>
      </w:pPr>
      <w:r>
        <w:rPr>
          <w:color w:val="000000"/>
          <w:sz w:val="28"/>
        </w:rPr>
        <w:t xml:space="preserve">до рішення </w:t>
      </w:r>
      <w:r>
        <w:rPr>
          <w:color w:val="000000"/>
          <w:sz w:val="28"/>
          <w:lang w:val="uk-UA"/>
        </w:rPr>
        <w:t xml:space="preserve">72</w:t>
      </w:r>
      <w:r>
        <w:rPr>
          <w:color w:val="000000"/>
          <w:sz w:val="28"/>
        </w:rPr>
        <w:t xml:space="preserve"> сесії Менської міської ради 8 скликання</w:t>
      </w:r>
      <w:r>
        <w:rPr>
          <w:color w:val="000000"/>
        </w:rPr>
      </w:r>
      <w:r>
        <w:rPr>
          <w:color w:val="000000"/>
        </w:rPr>
      </w:r>
    </w:p>
    <w:p>
      <w:pPr>
        <w:pStyle w:val="72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-2" w:left="5669"/>
        <w:jc w:val="both"/>
        <w:rPr>
          <w:color w:val="000000"/>
          <w:lang w:val="uk-UA"/>
        </w:rPr>
      </w:pPr>
      <w:r>
        <w:rPr>
          <w:color w:val="000000"/>
          <w:sz w:val="28"/>
          <w:lang w:val="uk-UA"/>
        </w:rPr>
        <w:t xml:space="preserve">17 квітня</w:t>
      </w:r>
      <w:r>
        <w:rPr>
          <w:color w:val="000000"/>
          <w:sz w:val="28"/>
        </w:rPr>
        <w:t xml:space="preserve"> 202</w:t>
      </w:r>
      <w:r>
        <w:rPr>
          <w:color w:val="000000"/>
          <w:sz w:val="28"/>
          <w:lang w:val="uk-UA"/>
        </w:rPr>
        <w:t xml:space="preserve">6</w:t>
      </w:r>
      <w:r>
        <w:rPr>
          <w:color w:val="000000"/>
          <w:sz w:val="28"/>
        </w:rPr>
        <w:t xml:space="preserve"> року № 202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738"/>
        <w:pBdr/>
        <w:spacing/>
        <w:ind w:left="566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left="567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Програма підтримки </w:t>
      </w:r>
      <w:r>
        <w:rPr>
          <w:b/>
          <w:color w:val="000000"/>
          <w:sz w:val="32"/>
          <w:szCs w:val="32"/>
        </w:rPr>
      </w:r>
      <w:r>
        <w:rPr>
          <w:b/>
          <w:color w:val="000000"/>
          <w:sz w:val="32"/>
          <w:szCs w:val="32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bCs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Комунального підприємства «Менакомунпослуга» </w:t>
      </w:r>
      <w:r>
        <w:rPr>
          <w:b/>
          <w:bCs/>
          <w:color w:val="000000"/>
          <w:sz w:val="32"/>
          <w:szCs w:val="32"/>
        </w:rPr>
      </w:r>
      <w:r>
        <w:rPr>
          <w:b/>
          <w:bCs/>
          <w:color w:val="000000"/>
          <w:sz w:val="32"/>
          <w:szCs w:val="32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bCs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Менської міської ради </w:t>
      </w:r>
      <w:r>
        <w:rPr>
          <w:b/>
          <w:bCs/>
          <w:color w:val="000000"/>
          <w:sz w:val="32"/>
          <w:szCs w:val="32"/>
        </w:rPr>
      </w:r>
      <w:r>
        <w:rPr>
          <w:b/>
          <w:bCs/>
          <w:color w:val="000000"/>
          <w:sz w:val="32"/>
          <w:szCs w:val="32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eastAsia="ru-RU"/>
        </w:rPr>
        <w:t xml:space="preserve">на 2025-2027 роки</w:t>
      </w:r>
      <w:r>
        <w:rPr>
          <w:b/>
          <w:color w:val="000000"/>
          <w:sz w:val="32"/>
          <w:szCs w:val="32"/>
        </w:rPr>
      </w:r>
      <w:r>
        <w:rPr>
          <w:b/>
          <w:color w:val="000000"/>
          <w:sz w:val="32"/>
          <w:szCs w:val="32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60"/>
        <w:pBdr/>
        <w:spacing w:after="0"/>
        <w:ind/>
        <w:jc w:val="center"/>
        <w:rPr>
          <w:color w:val="000000"/>
        </w:rPr>
      </w:pPr>
      <w:r>
        <w:rPr>
          <w:color w:val="000000"/>
          <w:lang w:val="uk-UA" w:eastAsia="ar-SA"/>
        </w:rPr>
        <w:t xml:space="preserve">(нова редакція)</w:t>
      </w:r>
      <w:r>
        <w:rPr>
          <w:color w:val="000000"/>
        </w:rPr>
      </w:r>
      <w:r>
        <w:rPr>
          <w:color w:val="000000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рік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keepNext w:val="true"/>
        <w:pBdr/>
        <w:spacing/>
        <w:ind/>
        <w:jc w:val="center"/>
        <w:outlineLvl w:val="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eastAsia="ru-RU"/>
        </w:rPr>
        <w:t xml:space="preserve">ЗМІСТ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726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spacing/>
        <w:ind w:right="278" w:left="3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Паспорт Програми                                                              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Визначення проблеми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Мета</w:t>
      </w:r>
      <w:r>
        <w:rPr>
          <w:color w:val="000000"/>
          <w:sz w:val="28"/>
          <w:szCs w:val="28"/>
          <w:lang w:val="uk-UA"/>
        </w:rPr>
        <w:t xml:space="preserve"> та завдання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</w:t>
      </w:r>
      <w:r>
        <w:rPr>
          <w:color w:val="000000"/>
          <w:sz w:val="28"/>
          <w:szCs w:val="28"/>
        </w:rPr>
        <w:t xml:space="preserve">рограми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rStyle w:val="948"/>
          <w:rFonts w:eastAsia="Calibri"/>
          <w:b w:val="0"/>
          <w:bCs w:val="0"/>
          <w:sz w:val="28"/>
          <w:szCs w:val="28"/>
        </w:rPr>
        <w:t xml:space="preserve">Основні Програмні заходи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Обсяги та джерела фінансування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numPr>
          <w:ilvl w:val="0"/>
          <w:numId w:val="1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Очікувані результати реалізації Програми</w:t>
      </w:r>
      <w:r>
        <w:rPr>
          <w:color w:val="000000"/>
          <w:sz w:val="28"/>
          <w:szCs w:val="28"/>
          <w:lang w:eastAsia="ru-RU"/>
        </w:rPr>
        <w:t xml:space="preserve">    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spacing/>
        <w:ind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 w:clear="all"/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 w:after="0" w:before="0"/>
        <w:ind/>
        <w:jc w:val="center"/>
        <w:rPr>
          <w:color w:val="000000"/>
        </w:rPr>
      </w:pPr>
      <w:r>
        <w:rPr>
          <w:rFonts w:ascii="Times New Roman" w:hAnsi="Times New Roman"/>
          <w:bCs w:val="0"/>
          <w:color w:val="000000"/>
          <w:lang w:eastAsia="ru-RU"/>
        </w:rPr>
        <w:t xml:space="preserve">1</w:t>
      </w:r>
      <w:r>
        <w:rPr>
          <w:rFonts w:ascii="Times New Roman" w:hAnsi="Times New Roman"/>
          <w:bCs w:val="0"/>
          <w:color w:val="000000"/>
          <w:lang w:val="uk-UA" w:eastAsia="ru-RU"/>
        </w:rPr>
        <w:t xml:space="preserve">.</w:t>
      </w:r>
      <w:r>
        <w:rPr>
          <w:rFonts w:ascii="Times New Roman" w:hAnsi="Times New Roman"/>
          <w:bCs w:val="0"/>
          <w:color w:val="000000"/>
          <w:lang w:eastAsia="ru-RU"/>
        </w:rPr>
        <w:t xml:space="preserve"> Паспорт Програми</w:t>
      </w:r>
      <w:r>
        <w:rPr>
          <w:rFonts w:ascii="Times New Roman" w:hAnsi="Times New Roman"/>
          <w:bCs w:val="0"/>
          <w:color w:val="000000"/>
          <w:lang w:val="ru-RU" w:eastAsia="ru-RU"/>
        </w:rPr>
        <w:t xml:space="preserve"> </w:t>
      </w:r>
      <w:r>
        <w:rPr>
          <w:rFonts w:ascii="Times New Roman" w:hAnsi="Times New Roman"/>
          <w:bCs w:val="0"/>
          <w:color w:val="000000"/>
          <w:lang w:eastAsia="ru-RU"/>
        </w:rPr>
        <w:t xml:space="preserve">підтримки </w:t>
      </w:r>
      <w:r>
        <w:rPr>
          <w:color w:val="000000"/>
        </w:rPr>
      </w:r>
      <w:r>
        <w:rPr>
          <w:color w:val="000000"/>
        </w:rPr>
      </w:r>
    </w:p>
    <w:p>
      <w:pPr>
        <w:pStyle w:val="768"/>
        <w:pBdr/>
        <w:spacing w:after="0" w:before="0"/>
        <w:ind/>
        <w:jc w:val="center"/>
        <w:rPr>
          <w:color w:val="000000"/>
          <w:lang w:val="ru-RU"/>
        </w:rPr>
      </w:pPr>
      <w:r>
        <w:rPr>
          <w:rFonts w:ascii="Times New Roman" w:hAnsi="Times New Roman"/>
          <w:bCs w:val="0"/>
          <w:color w:val="000000"/>
          <w:lang w:val="ru-RU" w:eastAsia="ru-RU"/>
        </w:rPr>
        <w:t xml:space="preserve">Комунального підприємства «Менакомунпослуга» Менської міської ради </w:t>
      </w:r>
      <w:r>
        <w:rPr>
          <w:rFonts w:ascii="Times New Roman" w:hAnsi="Times New Roman"/>
          <w:color w:val="000000"/>
          <w:lang w:val="ru-RU" w:eastAsia="ru-RU"/>
        </w:rPr>
        <w:t xml:space="preserve">на 202</w:t>
      </w:r>
      <w:r>
        <w:rPr>
          <w:rFonts w:ascii="Times New Roman" w:hAnsi="Times New Roman"/>
          <w:color w:val="000000"/>
          <w:lang w:val="uk-UA" w:eastAsia="ru-RU"/>
        </w:rPr>
        <w:t xml:space="preserve">5</w:t>
      </w:r>
      <w:r>
        <w:rPr>
          <w:rFonts w:ascii="Times New Roman" w:hAnsi="Times New Roman"/>
          <w:color w:val="000000"/>
          <w:lang w:val="ru-RU" w:eastAsia="ru-RU"/>
        </w:rPr>
        <w:t xml:space="preserve">-202</w:t>
      </w:r>
      <w:r>
        <w:rPr>
          <w:rFonts w:ascii="Times New Roman" w:hAnsi="Times New Roman"/>
          <w:color w:val="000000"/>
          <w:lang w:val="uk-UA" w:eastAsia="ru-RU"/>
        </w:rPr>
        <w:t xml:space="preserve">7</w:t>
      </w:r>
      <w:r>
        <w:rPr>
          <w:rFonts w:ascii="Times New Roman" w:hAnsi="Times New Roman"/>
          <w:color w:val="000000"/>
          <w:lang w:val="ru-RU" w:eastAsia="ru-RU"/>
        </w:rPr>
        <w:t xml:space="preserve"> роки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26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Ind w:w="0" w:type="dxa"/>
        <w:tblW w:w="4852" w:type="pct"/>
        <w:tblCellMar>
          <w:left w:w="0" w:type="dxa"/>
          <w:top w:w="0" w:type="dxa"/>
          <w:right w:w="0" w:type="dxa"/>
          <w:bottom w:w="0" w:type="dxa"/>
        </w:tblCellMar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Layout w:type="autofit"/>
        <w:tblLook w:val="04A0" w:firstRow="1" w:lastRow="0" w:firstColumn="1" w:lastColumn="0" w:noHBand="0" w:noVBand="1"/>
      </w:tblPr>
      <w:tblGrid>
        <w:gridCol w:w="744"/>
        <w:gridCol w:w="4318"/>
        <w:gridCol w:w="4330"/>
      </w:tblGrid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Ініціатор розроблення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Менська міська рада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Розробник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Відділ житлово-комунального господарства та комунального майна Менської міської ради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Відповідальний виконавець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КП «Менакомунпослуга» Менської міської ради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Термін реалізації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2025-2027 роки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Перелік джерел фінансування, які беруть участь у виконанні Програми 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vMerge w:val="restart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Бюджет Менської міської територіальної громади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Загальний обсяг фінансових ресурсів, необхідних для виконання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47 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301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600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2025 рік - 1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2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902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000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2026 рік - </w:t>
            </w:r>
            <w:r>
              <w:rPr>
                <w:color w:val="000000"/>
                <w:sz w:val="28"/>
                <w:szCs w:val="28"/>
                <w:highlight w:val="white"/>
                <w:lang w:eastAsia="ru-RU"/>
              </w:rPr>
              <w:t xml:space="preserve">1</w:t>
            </w:r>
            <w:r>
              <w:rPr>
                <w:color w:val="000000"/>
                <w:sz w:val="28"/>
                <w:szCs w:val="28"/>
                <w:highlight w:val="white"/>
                <w:lang w:val="uk-UA" w:eastAsia="ru-RU"/>
              </w:rPr>
              <w:t xml:space="preserve">7</w:t>
            </w:r>
            <w:r>
              <w:rPr>
                <w:color w:val="000000"/>
                <w:sz w:val="28"/>
                <w:szCs w:val="28"/>
                <w:highlight w:val="white"/>
                <w:lang w:eastAsia="ru-RU"/>
              </w:rPr>
              <w:t xml:space="preserve"> 06</w:t>
            </w:r>
            <w:r>
              <w:rPr>
                <w:color w:val="000000"/>
                <w:sz w:val="28"/>
                <w:szCs w:val="28"/>
                <w:highlight w:val="white"/>
                <w:lang w:val="uk-UA" w:eastAsia="ru-RU"/>
              </w:rPr>
              <w:t xml:space="preserve">8</w:t>
            </w:r>
            <w:r>
              <w:rPr>
                <w:color w:val="000000"/>
                <w:sz w:val="28"/>
                <w:szCs w:val="28"/>
                <w:highlight w:val="white"/>
                <w:lang w:eastAsia="ru-RU"/>
              </w:rPr>
              <w:t xml:space="preserve"> 000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726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2027 рік - 17 561 600 грн.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954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54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2.Визначення проблеми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740"/>
          <w:i w:val="0"/>
          <w:color w:val="000000"/>
          <w:sz w:val="28"/>
          <w:szCs w:val="28"/>
          <w:lang w:val="en-US"/>
        </w:rPr>
      </w:pPr>
      <w:r>
        <w:rPr>
          <w:rStyle w:val="740"/>
          <w:i w:val="0"/>
          <w:color w:val="000000"/>
          <w:sz w:val="28"/>
          <w:szCs w:val="28"/>
        </w:rPr>
        <w:t xml:space="preserve">Для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забезпечення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виконання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статутних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завдань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комунальні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підприємства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нерідко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потребують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залучення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додаткового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фінансування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40"/>
          <w:i w:val="0"/>
          <w:color w:val="000000"/>
          <w:sz w:val="28"/>
          <w:szCs w:val="28"/>
        </w:rPr>
        <w:t xml:space="preserve">яке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сприятиме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стабілізації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їх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фінансово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-</w:t>
      </w:r>
      <w:r>
        <w:rPr>
          <w:rStyle w:val="740"/>
          <w:i w:val="0"/>
          <w:color w:val="000000"/>
          <w:sz w:val="28"/>
          <w:szCs w:val="28"/>
        </w:rPr>
        <w:t xml:space="preserve">господарської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діяльності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40"/>
          <w:i w:val="0"/>
          <w:color w:val="000000"/>
          <w:sz w:val="28"/>
          <w:szCs w:val="28"/>
        </w:rPr>
        <w:t xml:space="preserve">покращенню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стану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розрахунків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40"/>
          <w:i w:val="0"/>
          <w:color w:val="000000"/>
          <w:sz w:val="28"/>
          <w:szCs w:val="28"/>
        </w:rPr>
        <w:t xml:space="preserve">більш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ефективному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використанню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майна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що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належить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до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комунальної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в</w:t>
      </w:r>
      <w:r>
        <w:rPr>
          <w:rStyle w:val="740"/>
          <w:i w:val="0"/>
          <w:color w:val="000000"/>
          <w:sz w:val="28"/>
          <w:szCs w:val="28"/>
        </w:rPr>
        <w:t xml:space="preserve">ласності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Менської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міської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ради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40"/>
          <w:i w:val="0"/>
          <w:color w:val="000000"/>
          <w:sz w:val="28"/>
          <w:szCs w:val="28"/>
        </w:rPr>
        <w:t xml:space="preserve">оновленню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виробничих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потужностей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, </w:t>
      </w:r>
      <w:r>
        <w:rPr>
          <w:rStyle w:val="740"/>
          <w:i w:val="0"/>
          <w:color w:val="000000"/>
          <w:sz w:val="28"/>
          <w:szCs w:val="28"/>
        </w:rPr>
        <w:t xml:space="preserve">технічної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 </w:t>
      </w:r>
      <w:r>
        <w:rPr>
          <w:rStyle w:val="740"/>
          <w:i w:val="0"/>
          <w:color w:val="000000"/>
          <w:sz w:val="28"/>
          <w:szCs w:val="28"/>
        </w:rPr>
        <w:t xml:space="preserve">бази</w:t>
      </w:r>
      <w:r>
        <w:rPr>
          <w:rStyle w:val="740"/>
          <w:i w:val="0"/>
          <w:color w:val="000000"/>
          <w:sz w:val="28"/>
          <w:szCs w:val="28"/>
          <w:lang w:val="en-US"/>
        </w:rPr>
        <w:t xml:space="preserve">.</w:t>
      </w:r>
      <w:r>
        <w:rPr>
          <w:rStyle w:val="740"/>
          <w:i w:val="0"/>
          <w:color w:val="000000"/>
          <w:sz w:val="28"/>
          <w:szCs w:val="28"/>
          <w:lang w:val="en-US"/>
        </w:rPr>
      </w:r>
      <w:r>
        <w:rPr>
          <w:rStyle w:val="740"/>
          <w:i w:val="0"/>
          <w:color w:val="000000"/>
          <w:sz w:val="28"/>
          <w:szCs w:val="28"/>
          <w:lang w:val="en-US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В Менській міській територіальній громаді 39 населених пунктів територіальної громади які потребують заходів з благоустрою і удосконалення роздільного збирання та сортування твердих побутових відходів</w:t>
      </w:r>
      <w:r>
        <w:rPr>
          <w:color w:val="000000"/>
          <w:sz w:val="28"/>
          <w:szCs w:val="28"/>
          <w:lang w:val="en-US"/>
        </w:rPr>
        <w:t xml:space="preserve">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rStyle w:val="948"/>
          <w:rFonts w:eastAsia="Calibri"/>
          <w:b w:val="0"/>
          <w:bCs w:val="0"/>
          <w:sz w:val="28"/>
          <w:szCs w:val="28"/>
        </w:rPr>
      </w:pPr>
      <w:r>
        <w:rPr>
          <w:rStyle w:val="948"/>
          <w:rFonts w:eastAsia="Calibri"/>
          <w:b w:val="0"/>
          <w:bCs w:val="0"/>
          <w:sz w:val="28"/>
          <w:szCs w:val="28"/>
        </w:rPr>
        <w:t xml:space="preserve">Благоустрій населених пунктів - комплекс робіт </w:t>
      </w:r>
      <w:r>
        <w:rPr>
          <w:rStyle w:val="949"/>
          <w:rFonts w:eastAsia="Calibri"/>
          <w:b w:val="0"/>
          <w:sz w:val="28"/>
          <w:szCs w:val="28"/>
        </w:rPr>
        <w:t xml:space="preserve">з </w:t>
      </w:r>
      <w:r>
        <w:rPr>
          <w:rStyle w:val="948"/>
          <w:rFonts w:eastAsia="Calibri"/>
          <w:b w:val="0"/>
          <w:bCs w:val="0"/>
          <w:sz w:val="28"/>
          <w:szCs w:val="28"/>
        </w:rPr>
        <w:t xml:space="preserve">інженерного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rStyle w:val="948"/>
          <w:rFonts w:eastAsia="Calibri"/>
          <w:b w:val="0"/>
          <w:bCs w:val="0"/>
          <w:sz w:val="28"/>
          <w:szCs w:val="28"/>
        </w:rPr>
        <w:t xml:space="preserve">захисту, розчищення, осушення та озеленення території, а також соціально-економічних, організаційно-правових та екологічних заходів </w:t>
      </w:r>
      <w:r>
        <w:rPr>
          <w:rStyle w:val="949"/>
          <w:rFonts w:eastAsia="Calibri"/>
          <w:b w:val="0"/>
          <w:sz w:val="28"/>
          <w:szCs w:val="28"/>
        </w:rPr>
        <w:t xml:space="preserve">з </w:t>
      </w:r>
      <w:r>
        <w:rPr>
          <w:rStyle w:val="948"/>
          <w:rFonts w:eastAsia="Calibri"/>
          <w:b w:val="0"/>
          <w:bCs w:val="0"/>
          <w:sz w:val="28"/>
          <w:szCs w:val="28"/>
        </w:rPr>
        <w:t xml:space="preserve">покращання мікроклімату, санітарного очищення, зниження рівня шуму та інше, що здійснюються на території населеного пункту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rStyle w:val="948"/>
          <w:rFonts w:eastAsia="Calibri"/>
          <w:b w:val="0"/>
          <w:bCs w:val="0"/>
          <w:sz w:val="28"/>
          <w:szCs w:val="28"/>
        </w:rPr>
        <w:t xml:space="preserve">з метою її раціонального використання, належного утримання та охорони, створення умов щодо захисту і відновлення сприятливого для життєдіяльності людини довкілля. </w:t>
      </w:r>
      <w:r>
        <w:rPr>
          <w:rStyle w:val="948"/>
          <w:rFonts w:eastAsia="Calibri"/>
          <w:b w:val="0"/>
          <w:bCs w:val="0"/>
          <w:sz w:val="28"/>
          <w:szCs w:val="28"/>
        </w:rPr>
      </w:r>
      <w:r>
        <w:rPr>
          <w:rStyle w:val="948"/>
          <w:rFonts w:eastAsia="Calibri"/>
          <w:b w:val="0"/>
          <w:bCs w:val="0"/>
          <w:sz w:val="28"/>
          <w:szCs w:val="28"/>
        </w:rPr>
      </w:r>
    </w:p>
    <w:p>
      <w:pPr>
        <w:pStyle w:val="726"/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Побутові від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ходи утворюються у процесі життєдіяльності людини (харчові відходи, макулатура, скло, метали, полімерні матеріали тощо) і накопичуються у жилих будинках, закладах соціального призначення, громадських, навчальних, лікувальних, торговельних та інших закладах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Особливістю відходів є те, що вони є змішаними, тобто сумішшю компонентів. Поділ на окремі складові частини компонентів - називається морфологічним складом. Змішування відходів відбувається на стадії їх утворення, зберігання, перевезення та захоронення. </w:t>
      </w:r>
      <w:r>
        <w:rPr>
          <w:color w:val="000000"/>
          <w:sz w:val="28"/>
          <w:szCs w:val="28"/>
          <w:shd w:val="clear" w:color="auto" w:fill="ffffff"/>
        </w:rPr>
        <w:t xml:space="preserve">Це призводить до утворення шкідливих хімічних сполук, що забруднюють атмосферне повітря та ґрунтові води.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За результатами проведеного аналізу виконуваних робіт та заходів в </w:t>
      </w:r>
      <w:r>
        <w:rPr>
          <w:rStyle w:val="950"/>
          <w:rFonts w:eastAsia="Calibri"/>
          <w:b w:val="0"/>
          <w:sz w:val="28"/>
          <w:szCs w:val="28"/>
        </w:rPr>
        <w:t xml:space="preserve">населених</w:t>
      </w:r>
      <w:r>
        <w:rPr>
          <w:rStyle w:val="950"/>
          <w:rFonts w:eastAsia="Calibri"/>
          <w:sz w:val="28"/>
          <w:szCs w:val="28"/>
        </w:rPr>
        <w:t xml:space="preserve"> </w:t>
      </w:r>
      <w:r>
        <w:rPr>
          <w:rStyle w:val="946"/>
          <w:rFonts w:eastAsia="Calibri"/>
          <w:sz w:val="28"/>
          <w:szCs w:val="28"/>
        </w:rPr>
        <w:t xml:space="preserve">пунктах громади, виникла необхідність забезпечити більш якісне надання послуг з благоустрою та впровадження нових підходів та методів з удосконалення роздільного збирання та сортування побутових відходів в населених пунктах Менської громади.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rStyle w:val="946"/>
          <w:rFonts w:eastAsia="Calibri"/>
          <w:sz w:val="28"/>
          <w:szCs w:val="28"/>
        </w:rPr>
        <w:t xml:space="preserve">Забезпечення виконання робіт з благоустрою населених пунктів Менської міської громади управління з побутовими відходами (вивіз і захоронення  побутових відходів) на території м. Мена на даний час здійснює комунальне підприємство Менської міської ради – </w:t>
      </w:r>
      <w:r>
        <w:rPr>
          <w:rStyle w:val="946"/>
          <w:rFonts w:eastAsia="Calibri"/>
          <w:sz w:val="28"/>
          <w:szCs w:val="28"/>
          <w:lang w:eastAsia="ru-RU" w:bidi="ru-RU"/>
        </w:rPr>
        <w:t xml:space="preserve">КП </w:t>
      </w:r>
      <w:r>
        <w:rPr>
          <w:rStyle w:val="946"/>
          <w:rFonts w:eastAsia="Calibri"/>
          <w:sz w:val="28"/>
          <w:szCs w:val="28"/>
        </w:rPr>
        <w:t xml:space="preserve">«Менакомунпослуга».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Комунальне підприємств</w:t>
      </w:r>
      <w:r>
        <w:rPr>
          <w:rStyle w:val="946"/>
          <w:rFonts w:eastAsia="Calibri"/>
          <w:sz w:val="28"/>
          <w:szCs w:val="28"/>
        </w:rPr>
        <w:t xml:space="preserve">о утворюється рішенням міської ради на базі відокремленої частини комунальної власності і входить до сфери його управління. Майно комунального підприємства перебуває у комунальній власності і закріплюється за підприємством на праві господарського відання. 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Сьогодні дуже гостро стоїть питання щодо благоустрою Менської міської територіальної громади. 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Враховуючи низьку щільність населення в громаді, зниження демографічних показників, відтік молоді, та</w:t>
      </w:r>
      <w:r>
        <w:rPr>
          <w:rStyle w:val="946"/>
          <w:rFonts w:eastAsia="Calibri"/>
          <w:sz w:val="28"/>
          <w:szCs w:val="28"/>
        </w:rPr>
        <w:t xml:space="preserve"> ряд інших факторів ( в тому числі військовий стан) все більше залишається покинутих будинків біля яких нікому прибирати, відповідно більше стає чагарників по вулицях населених пунктів громади, на кладовищах, парках та інших місцях загального користування.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При цьому є проблема зі стихійними сміттєзвалищами, що в свою чергу впливає на здоров’я населення та екологічну ситуацію в громаді в цілому.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Деяк</w:t>
      </w:r>
      <w:r>
        <w:rPr>
          <w:rStyle w:val="946"/>
          <w:rFonts w:eastAsia="Calibri"/>
          <w:sz w:val="28"/>
          <w:szCs w:val="28"/>
        </w:rPr>
        <w:t xml:space="preserve">і впливи природи спричиняють такі питання як очищення снігу та посипання доріг в зимовий період та організацію сполучення між населеними пунктами внаслідок паводків весною, всі ці явища загрожують безпеці в цілому як людям, так і тваринам, спорудам, та ін.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Все вище перераховане викликає незадоволеність рівнем життя в громаді та ставить під загрозу питання безпечного пересування та проживання на території громади.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417"/>
        </w:tabs>
        <w:spacing/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3</w:t>
      </w:r>
      <w:r>
        <w:rPr>
          <w:b/>
          <w:color w:val="000000"/>
          <w:sz w:val="28"/>
          <w:szCs w:val="28"/>
        </w:rPr>
        <w:t xml:space="preserve">. Мета</w:t>
      </w:r>
      <w:r>
        <w:rPr>
          <w:b/>
          <w:color w:val="000000"/>
          <w:sz w:val="28"/>
          <w:szCs w:val="28"/>
          <w:lang w:val="uk-UA"/>
        </w:rPr>
        <w:t xml:space="preserve"> та завдання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П</w:t>
      </w:r>
      <w:r>
        <w:rPr>
          <w:b/>
          <w:color w:val="000000"/>
          <w:sz w:val="28"/>
          <w:szCs w:val="28"/>
        </w:rPr>
        <w:t xml:space="preserve">рограми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pBdr/>
        <w:spacing/>
        <w:ind w:firstLine="567"/>
        <w:jc w:val="both"/>
        <w:rPr>
          <w:rStyle w:val="951"/>
          <w:rFonts w:eastAsia="Candara"/>
          <w:b w:val="0"/>
          <w:bCs w:val="0"/>
          <w:sz w:val="28"/>
          <w:szCs w:val="28"/>
        </w:rPr>
      </w:pPr>
      <w:r>
        <w:rPr>
          <w:rStyle w:val="951"/>
          <w:rFonts w:eastAsia="Candara"/>
          <w:b w:val="0"/>
          <w:bCs w:val="0"/>
          <w:sz w:val="28"/>
          <w:szCs w:val="28"/>
        </w:rPr>
        <w:t xml:space="preserve">Метою є забезпечення безпечних умов життєдіяльності в населених пунктах територіальної громади та збільшити рівень задоволеності своїм середовищем.</w:t>
      </w:r>
      <w:r>
        <w:rPr>
          <w:rStyle w:val="951"/>
          <w:rFonts w:eastAsia="Candara"/>
          <w:b w:val="0"/>
          <w:bCs w:val="0"/>
          <w:sz w:val="28"/>
          <w:szCs w:val="28"/>
        </w:rPr>
      </w:r>
      <w:r>
        <w:rPr>
          <w:rStyle w:val="951"/>
          <w:rFonts w:eastAsia="Candara"/>
          <w:b w:val="0"/>
          <w:bCs w:val="0"/>
          <w:sz w:val="28"/>
          <w:szCs w:val="28"/>
        </w:rPr>
      </w:r>
    </w:p>
    <w:p>
      <w:pPr>
        <w:pStyle w:val="726"/>
        <w:pBdr/>
        <w:spacing/>
        <w:ind w:firstLine="567"/>
        <w:jc w:val="both"/>
        <w:rPr>
          <w:rStyle w:val="951"/>
          <w:rFonts w:eastAsia="Candara"/>
          <w:b w:val="0"/>
          <w:bCs w:val="0"/>
          <w:sz w:val="28"/>
          <w:szCs w:val="28"/>
        </w:rPr>
      </w:pPr>
      <w:r>
        <w:rPr>
          <w:rStyle w:val="951"/>
          <w:rFonts w:eastAsia="Candara"/>
          <w:b w:val="0"/>
          <w:bCs w:val="0"/>
          <w:sz w:val="28"/>
          <w:szCs w:val="28"/>
        </w:rPr>
        <w:t xml:space="preserve">Завданнями програми є:</w:t>
      </w:r>
      <w:r>
        <w:rPr>
          <w:rStyle w:val="951"/>
          <w:rFonts w:eastAsia="Candara"/>
          <w:b w:val="0"/>
          <w:bCs w:val="0"/>
          <w:sz w:val="28"/>
          <w:szCs w:val="28"/>
        </w:rPr>
      </w:r>
      <w:r>
        <w:rPr>
          <w:rStyle w:val="951"/>
          <w:rFonts w:eastAsia="Candara"/>
          <w:b w:val="0"/>
          <w:bCs w:val="0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51"/>
          <w:rFonts w:eastAsia="Candara"/>
          <w:b w:val="0"/>
          <w:bCs w:val="0"/>
          <w:sz w:val="28"/>
          <w:szCs w:val="28"/>
        </w:rPr>
        <w:t xml:space="preserve">визначен</w:t>
      </w:r>
      <w:r>
        <w:rPr>
          <w:rStyle w:val="946"/>
          <w:rFonts w:eastAsia="Calibri"/>
          <w:sz w:val="28"/>
          <w:szCs w:val="28"/>
        </w:rPr>
        <w:t xml:space="preserve">ня та реалізація основних напрямків, спрямованих на забезпечення належного технічного, санітарного та екологічного стану об’єктів благоустрою;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удосконалення управління з побутовими відходами (роздільного збирання та сортування побутових відходів); 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забезпечення безпечних умов життєдіяльності в населених пунктах  територіальної громади;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забезпечення сприятливого середовища для життєдіяльності, 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51"/>
          <w:rFonts w:eastAsia="Candara"/>
          <w:b w:val="0"/>
          <w:bCs w:val="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забезпеч</w:t>
      </w:r>
      <w:r>
        <w:rPr>
          <w:rStyle w:val="951"/>
          <w:rFonts w:eastAsia="Candara"/>
          <w:b w:val="0"/>
          <w:bCs w:val="0"/>
          <w:sz w:val="28"/>
          <w:szCs w:val="28"/>
        </w:rPr>
        <w:t xml:space="preserve">ення сталого розвитку та задоволення потреб населення і господарського комплексу в житлово-комунальних та інших послугах.</w:t>
      </w:r>
      <w:r>
        <w:rPr>
          <w:rStyle w:val="951"/>
          <w:rFonts w:eastAsia="Candara"/>
          <w:b w:val="0"/>
          <w:bCs w:val="0"/>
          <w:sz w:val="28"/>
          <w:szCs w:val="28"/>
        </w:rPr>
      </w:r>
      <w:r>
        <w:rPr>
          <w:rStyle w:val="951"/>
          <w:rFonts w:eastAsia="Candara"/>
          <w:b w:val="0"/>
          <w:bCs w:val="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48"/>
          <w:rFonts w:eastAsia="Calibri"/>
          <w:bCs w:val="0"/>
          <w:sz w:val="28"/>
          <w:szCs w:val="28"/>
        </w:rPr>
      </w:pPr>
      <w:r>
        <w:rPr>
          <w:rStyle w:val="948"/>
          <w:rFonts w:eastAsia="Calibri"/>
          <w:bCs w:val="0"/>
          <w:sz w:val="28"/>
          <w:szCs w:val="28"/>
        </w:rPr>
      </w:r>
      <w:r>
        <w:rPr>
          <w:rStyle w:val="948"/>
          <w:rFonts w:eastAsia="Calibri"/>
          <w:bCs w:val="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48"/>
          <w:rFonts w:eastAsia="Calibri"/>
          <w:bCs w:val="0"/>
          <w:sz w:val="28"/>
          <w:szCs w:val="28"/>
        </w:rPr>
      </w:pPr>
      <w:r>
        <w:rPr>
          <w:rStyle w:val="948"/>
          <w:rFonts w:eastAsia="Calibri"/>
          <w:bCs w:val="0"/>
          <w:sz w:val="28"/>
          <w:szCs w:val="28"/>
        </w:rPr>
        <w:t xml:space="preserve">4. Основні Програмні заходи</w:t>
      </w:r>
      <w:r>
        <w:rPr>
          <w:rStyle w:val="948"/>
          <w:rFonts w:eastAsia="Calibri"/>
          <w:bCs w:val="0"/>
          <w:sz w:val="28"/>
          <w:szCs w:val="28"/>
        </w:rPr>
      </w:r>
      <w:r>
        <w:rPr>
          <w:rStyle w:val="948"/>
          <w:rFonts w:eastAsia="Calibri"/>
          <w:bCs w:val="0"/>
          <w:sz w:val="28"/>
          <w:szCs w:val="28"/>
        </w:rPr>
      </w:r>
    </w:p>
    <w:p>
      <w:pPr>
        <w:pStyle w:val="726"/>
        <w:pBdr/>
        <w:spacing/>
        <w:ind w:firstLine="567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Для забезпечення якісного в</w:t>
      </w:r>
      <w:r>
        <w:rPr>
          <w:rStyle w:val="946"/>
          <w:rFonts w:eastAsia="Calibri"/>
          <w:sz w:val="28"/>
          <w:szCs w:val="28"/>
        </w:rPr>
        <w:t xml:space="preserve">иконання робіт із благоустрою населених пунктів громади, а також управління з побутовими відходами (роздільного збирання та сортування  побутових відходів) з впровадження нових підходів та методів при виконанні робіт необхідно виконати ряд заходів, а саме: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Обслуговування  вуличної дорожньої мережі включає в себе комплекс робіт з: підтримання належного стану дорожніх узбіч, кюветів та відвідних каналів , що передбачає видалення трави, бу</w:t>
      </w:r>
      <w:r>
        <w:rPr>
          <w:rStyle w:val="946"/>
          <w:rFonts w:eastAsia="Calibri"/>
          <w:sz w:val="28"/>
          <w:szCs w:val="28"/>
        </w:rPr>
        <w:t xml:space="preserve">р’янів та засівання їх трав’яним покривом; забезпечення проїзду в зимовий період, включаючи заготівлю і зберігання протиожеледних матеріалів та хімічних реагентів, очищення вулиць та доріг від снігу, а також обробку їх фрикційними та іншими протиожеледними</w:t>
      </w:r>
      <w:r>
        <w:rPr>
          <w:rStyle w:val="946"/>
          <w:rFonts w:eastAsia="Calibri"/>
          <w:sz w:val="28"/>
          <w:szCs w:val="28"/>
        </w:rPr>
        <w:t xml:space="preserve"> матеріалами; утримання дорожніх знаків, транспортних та пішохідних огорож та інших елементів дорожнього обладнання в належному стані, що передбачає їх очищення та ремонт; виконання робіт з заміни люків та інших елементів дорожньої інфраструктури; та інше.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/>
      </w:pPr>
      <w:r>
        <w:rPr>
          <w:color w:val="000000"/>
          <w:sz w:val="28"/>
          <w:szCs w:val="28"/>
          <w:lang w:val="uk-UA"/>
        </w:rPr>
        <w:t xml:space="preserve">Обслуговування та </w:t>
      </w:r>
      <w:r>
        <w:rPr>
          <w:rStyle w:val="946"/>
          <w:rFonts w:eastAsia="Calibri"/>
          <w:sz w:val="28"/>
          <w:szCs w:val="28"/>
        </w:rPr>
        <w:t xml:space="preserve">утримання зелених насаджень включає в себе комплекс робіт</w:t>
      </w:r>
      <w:r>
        <w:rPr>
          <w:rStyle w:val="946"/>
          <w:rFonts w:eastAsia="Calibri"/>
          <w:sz w:val="28"/>
          <w:szCs w:val="28"/>
        </w:rPr>
        <w:t xml:space="preserve"> з їхнього догляду та підтримки належного стану: агротехнічні заходи: підсипання ґрунту, сівба  газонних трав, посадка дерев, кущів, квітів на газонах і клумбах; санітарна обрізка, видалення аварійних та пошкоджених дерев і кущів, кронування; догляд за рос</w:t>
      </w:r>
      <w:r>
        <w:rPr>
          <w:rStyle w:val="946"/>
          <w:rFonts w:eastAsia="Calibri"/>
          <w:sz w:val="28"/>
          <w:szCs w:val="28"/>
        </w:rPr>
        <w:t xml:space="preserve">линами: догляд за деревами, кущами, газонами, квітниками; косіння трави; згрібання та вивезення опалого листя, збирання та вивезення стовбурів та гілля; обслуговування та фарбування парканів, огорож, споруд, обладнання, малих архітектурних споруд; та інше.</w:t>
      </w:r>
      <w:r>
        <w:rPr>
          <w:lang w:val="uk-UA"/>
        </w:rPr>
      </w:r>
      <w:r/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Комплекс заходів з санітарного очищення  та прибирання території в</w:t>
      </w:r>
      <w:r>
        <w:rPr>
          <w:rStyle w:val="946"/>
          <w:rFonts w:eastAsia="Calibri"/>
          <w:sz w:val="28"/>
          <w:szCs w:val="28"/>
        </w:rPr>
        <w:t xml:space="preserve">ключає в себе: очищення дренажних станцій, МВВ для захоронення відходів, будівель  громадських туалетів та будівель і житлових приміщень в районі ділянки, прибирання територій, спеціально відведених для вигулу домашніх тварин, планове прибирання місць гром</w:t>
      </w:r>
      <w:r>
        <w:rPr>
          <w:rStyle w:val="946"/>
          <w:rFonts w:eastAsia="Calibri"/>
          <w:sz w:val="28"/>
          <w:szCs w:val="28"/>
        </w:rPr>
        <w:t xml:space="preserve">адського відпочинку території, утримання місць поховання, ліквідація стихійних сміттєзвалищ, утримання паспортизованих МВВ та інше; удосконалення роздільного збирання та сортування твердих побутових відходів, облаштування контейнерних майданчиків; та інше;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Інші послуги з благоустрою: встановлення та поточний ремонт парканів, містків, облаштування громадських вбирал</w:t>
      </w:r>
      <w:r>
        <w:rPr>
          <w:rStyle w:val="946"/>
          <w:rFonts w:eastAsia="Calibri"/>
          <w:sz w:val="28"/>
          <w:szCs w:val="28"/>
          <w:lang w:val="ru-RU"/>
        </w:rPr>
        <w:t xml:space="preserve">е</w:t>
      </w:r>
      <w:r>
        <w:rPr>
          <w:rStyle w:val="946"/>
          <w:rFonts w:eastAsia="Calibri"/>
          <w:sz w:val="28"/>
          <w:szCs w:val="28"/>
        </w:rPr>
        <w:t xml:space="preserve">нь, прочищення вуличних колодязів та інше;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Послуги з перевезення людей човном та паромного перевезення;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34"/>
        <w:numPr>
          <w:ilvl w:val="0"/>
          <w:numId w:val="7"/>
        </w:numPr>
        <w:pBdr/>
        <w:tabs>
          <w:tab w:val="left" w:leader="none" w:pos="0"/>
          <w:tab w:val="left" w:leader="none" w:pos="850"/>
          <w:tab w:val="left" w:leader="none" w:pos="1380"/>
        </w:tabs>
        <w:spacing/>
        <w:ind w:firstLine="425" w:left="142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НС.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pBdr/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450"/>
        </w:tabs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5. Обсяги та джерела фінансування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726"/>
        <w:widowControl w:val="false"/>
        <w:pBdr/>
        <w:tabs>
          <w:tab w:val="left" w:leader="none" w:pos="0"/>
        </w:tabs>
        <w:spacing/>
        <w:ind w:firstLine="567"/>
        <w:jc w:val="both"/>
        <w:rPr>
          <w:rStyle w:val="946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Фінансування заходів з виконання Програми здійснюється за рахунок коштів бюджету Менської міської територіальної громади, та інших джерел незаборонених чинним законодавством, шляхом</w:t>
      </w:r>
      <w:r>
        <w:rPr>
          <w:rFonts w:eastAsia="Calibri"/>
          <w:color w:val="000000"/>
          <w:sz w:val="28"/>
          <w:szCs w:val="28"/>
          <w:lang w:val="uk-UA"/>
        </w:rPr>
        <w:t xml:space="preserve"> н</w:t>
      </w:r>
      <w:r>
        <w:rPr>
          <w:rStyle w:val="946"/>
          <w:rFonts w:eastAsia="Calibri"/>
          <w:sz w:val="28"/>
          <w:szCs w:val="28"/>
        </w:rPr>
        <w:t xml:space="preserve">адання фінансової допомоги підприємству на безповоротній основі. Обсяги фінансування з бюджету Менської територіальної громади визначаються щорічно</w:t>
      </w:r>
      <w:r>
        <w:rPr>
          <w:color w:val="000000"/>
          <w:sz w:val="28"/>
          <w:szCs w:val="28"/>
          <w:lang w:val="uk-UA"/>
        </w:rPr>
        <w:t xml:space="preserve"> виходячи з наявного фінансового ресурсу бюджету Менської міської  територіальної громади</w:t>
      </w:r>
      <w:r>
        <w:rPr>
          <w:rStyle w:val="946"/>
          <w:rFonts w:eastAsia="Calibri"/>
          <w:sz w:val="28"/>
          <w:szCs w:val="28"/>
        </w:rPr>
        <w:t xml:space="preserve"> в обсязі передбаченому бюджетом та можуть коригуватися протягом року. </w:t>
      </w:r>
      <w:r>
        <w:rPr>
          <w:rStyle w:val="946"/>
          <w:sz w:val="28"/>
          <w:szCs w:val="28"/>
        </w:rPr>
      </w:r>
      <w:r>
        <w:rPr>
          <w:rStyle w:val="946"/>
          <w:sz w:val="28"/>
          <w:szCs w:val="28"/>
        </w:rPr>
      </w:r>
    </w:p>
    <w:p>
      <w:pPr>
        <w:pStyle w:val="726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Обсяги фінансування за напрямками 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jc w:val="center"/>
        <w:tblInd w:w="50" w:type="dxa"/>
        <w:tblW w:w="10280" w:type="dxa"/>
        <w:tblCellMar>
          <w:left w:w="10" w:type="dxa"/>
          <w:top w:w="0" w:type="dxa"/>
          <w:right w:w="10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21"/>
        <w:gridCol w:w="4713"/>
        <w:gridCol w:w="1134"/>
        <w:gridCol w:w="1624"/>
        <w:gridCol w:w="850"/>
        <w:gridCol w:w="855"/>
        <w:gridCol w:w="783"/>
      </w:tblGrid>
      <w:tr>
        <w:trPr>
          <w:trHeight w:val="67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46"/>
                <w:rFonts w:eastAsia="Microsoft Sans Serif"/>
                <w:sz w:val="18"/>
                <w:szCs w:val="18"/>
              </w:rPr>
              <w:t xml:space="preserve">№ </w:t>
            </w: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п/п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center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46"/>
                <w:rFonts w:eastAsia="Calibri"/>
                <w:sz w:val="18"/>
                <w:szCs w:val="18"/>
              </w:rPr>
              <w:t xml:space="preserve">Зміст заходу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Термін виконання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Виконавець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5"/>
                <w:rFonts w:eastAsia="Microsoft Sans Serif"/>
                <w:b w:val="0"/>
                <w:bCs w:val="0"/>
                <w:sz w:val="18"/>
                <w:szCs w:val="18"/>
              </w:rPr>
            </w:pP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2025 р.</w:t>
            </w:r>
            <w:r>
              <w:rPr>
                <w:rStyle w:val="945"/>
                <w:rFonts w:eastAsia="Microsoft Sans Serif"/>
                <w:b w:val="0"/>
                <w:bCs w:val="0"/>
                <w:sz w:val="18"/>
                <w:szCs w:val="18"/>
              </w:rPr>
            </w:r>
            <w:r>
              <w:rPr>
                <w:rStyle w:val="945"/>
                <w:rFonts w:eastAsia="Microsoft Sans Serif"/>
                <w:b w:val="0"/>
                <w:bCs w:val="0"/>
                <w:sz w:val="18"/>
                <w:szCs w:val="18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5"/>
                <w:rFonts w:eastAsia="Microsoft Sans Serif"/>
                <w:b w:val="0"/>
                <w:sz w:val="18"/>
                <w:szCs w:val="18"/>
              </w:rPr>
            </w:pP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Сума</w:t>
            </w: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945"/>
                <w:rFonts w:eastAsia="Microsoft Sans Serif"/>
                <w:b w:val="0"/>
                <w:sz w:val="18"/>
                <w:szCs w:val="18"/>
              </w:rPr>
              <w:t xml:space="preserve">(тис.гри.)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2026 р.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Сума (тис.грн.)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2027 р.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Сума (тис.грн.)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rStyle w:val="945"/>
                <w:rFonts w:eastAsia="Microsoft Sans Serif"/>
                <w:b w:val="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center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Обслуговування  вуличної дорожньої мережі включає в себе комплекс робіт з: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 - підтримання належного стану дорожніх узбіч, кюветів та відвідних каналів, що передбачає видалення трави, бур’янів та засівання їх трав’яним покривом;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забезпечення проїзду в зимовий період, включаючи заготівлю і зберігання протиожеледних матеріалів та хімічних реагентів, очищення вулиць та доріг від снігу, а також обробку їх фрикційними та іншими протиожеледними матеріалами;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утримання дорожніх знаків, транспортних та пішохідних огорож та інших елементів дорожнього обладнання в належному стані, що передбачає їх очищення та ремонт;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виконання робіт з заміни люків та інших елементів дорожньої інфраструктури;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  <w:tab w:val="center" w:leader="none" w:pos="2076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та інше.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46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5"/>
                <w:rFonts w:eastAsia="Microsoft Sans Serif"/>
                <w:b w:val="0"/>
              </w:rPr>
              <w:t xml:space="preserve">КП </w:t>
            </w:r>
            <w:r>
              <w:rPr>
                <w:rStyle w:val="946"/>
                <w:rFonts w:eastAsia="Microsoft Sans Serif"/>
              </w:rPr>
              <w:t xml:space="preserve">«Менакомунпослуга»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4</w:t>
            </w:r>
            <w:r>
              <w:rPr>
                <w:color w:val="000000"/>
                <w:highlight w:val="white"/>
                <w:lang w:val="uk-UA"/>
              </w:rPr>
              <w:t xml:space="preserve">8</w:t>
            </w:r>
            <w:r>
              <w:rPr>
                <w:color w:val="000000"/>
                <w:highlight w:val="white"/>
              </w:rPr>
              <w:t xml:space="preserve">00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rStyle w:val="946"/>
                <w:rFonts w:eastAsia="Microsoft Sans Serif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color w:val="000000"/>
              </w:rPr>
              <w:t xml:space="preserve">Обслуговування та </w:t>
            </w:r>
            <w:r>
              <w:rPr>
                <w:rStyle w:val="946"/>
                <w:rFonts w:eastAsia="Calibri"/>
              </w:rPr>
              <w:t xml:space="preserve">утримання зелених насаджень включає в себе комплекс робіт з їхнього догляду та підтримки належного стану: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агротехнічні заходи: підсипання ґрунту, сівба  газонних трав, посадка дерев, кущів, квітів на газонах і клумбах;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санітарна обрізка, кронування аварійних та пошкоджених дерев, чагарників;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догляд за рослинами : догляд за деревами, кущами, газонами, квітниками; косіння трави; згрібання та вивезення опалого листя, збирання та вивезення стовбурів та гілля;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обслуговування та фарбування парканів, огорож, споруд, обладнання, малих архітектурних споруд;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  <w:tab w:val="left" w:leader="none" w:pos="544"/>
                <w:tab w:val="left" w:leader="none" w:pos="1099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та інше.</w:t>
              <w:tab/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46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rStyle w:val="945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4</w:t>
            </w:r>
            <w:r>
              <w:rPr>
                <w:color w:val="000000"/>
                <w:highlight w:val="white"/>
                <w:lang w:val="uk-UA"/>
              </w:rPr>
              <w:t xml:space="preserve">8</w:t>
            </w:r>
            <w:r>
              <w:rPr>
                <w:color w:val="000000"/>
                <w:highlight w:val="white"/>
              </w:rPr>
              <w:t xml:space="preserve">00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rStyle w:val="946"/>
                <w:rFonts w:eastAsia="Microsoft Sans Serif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Комплекс заходів з санітарного очищення  та прибирання території включає в себе: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очищення дренажних станцій, МВВ для захоронення відходів, будівель  громадських туалетів та будівель і житлових прим</w:t>
            </w:r>
            <w:r>
              <w:rPr>
                <w:rStyle w:val="946"/>
                <w:rFonts w:eastAsia="Calibri"/>
              </w:rPr>
              <w:t xml:space="preserve">іщень в районі ділянки, прибирання територій, спеціально відведених для вигулу домашніх тварин, планове прибирання місць громадського відпочинку території, утримання місць поховання, ліквідація стихійних сміттєзвалищ, утримання паспортизованих МВВ та інше;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удосконалення роздільного збирання та сортування твердих побутових відходів, облаштування контейнерних майданчиків;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та інше.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rStyle w:val="946"/>
                <w:rFonts w:eastAsia="Microsoft Sans Serif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eastAsia="Microsoft Sans Serif"/>
                <w:color w:val="000000"/>
              </w:rPr>
            </w:pPr>
            <w:r>
              <w:rPr>
                <w:rStyle w:val="950"/>
                <w:rFonts w:eastAsia="Microsoft Sans Serif"/>
                <w:b w:val="0"/>
                <w:bCs w:val="0"/>
              </w:rPr>
              <w:t xml:space="preserve">КП </w:t>
            </w:r>
            <w:r>
              <w:rPr>
                <w:rStyle w:val="946"/>
                <w:rFonts w:eastAsia="Microsoft Sans Serif"/>
              </w:rPr>
              <w:t xml:space="preserve">«Менакомунпослуга»</w:t>
            </w:r>
            <w:r>
              <w:rPr>
                <w:rFonts w:eastAsia="Microsoft Sans Serif"/>
                <w:color w:val="000000"/>
              </w:rPr>
            </w:r>
            <w:r>
              <w:rPr>
                <w:rFonts w:eastAsia="Microsoft Sans Serif"/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306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5700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4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Інші послуги з благоустрою :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встановлення та поточний ремонт парканів, містків, облаштування громадських вбирал</w:t>
            </w:r>
            <w:r>
              <w:rPr>
                <w:rStyle w:val="946"/>
                <w:rFonts w:eastAsia="Calibri"/>
              </w:rPr>
              <w:t xml:space="preserve">е</w:t>
            </w:r>
            <w:r>
              <w:rPr>
                <w:rStyle w:val="946"/>
                <w:rFonts w:eastAsia="Calibri"/>
              </w:rPr>
              <w:t xml:space="preserve">нь,</w:t>
            </w:r>
            <w:r>
              <w:rPr>
                <w:rStyle w:val="946"/>
                <w:rFonts w:eastAsia="Calibri"/>
              </w:rPr>
              <w:t xml:space="preserve"> </w:t>
            </w:r>
            <w:r>
              <w:rPr>
                <w:rStyle w:val="946"/>
                <w:rFonts w:eastAsia="Calibri"/>
                <w:highlight w:val="white"/>
              </w:rPr>
              <w:t xml:space="preserve">забезпечення функціонування роботи громадських вбиралень</w:t>
            </w:r>
            <w:r>
              <w:rPr>
                <w:rStyle w:val="946"/>
                <w:rFonts w:eastAsia="Calibri"/>
              </w:rPr>
              <w:t xml:space="preserve">,</w:t>
            </w:r>
            <w:r>
              <w:rPr>
                <w:rStyle w:val="946"/>
                <w:rFonts w:eastAsia="Calibri"/>
              </w:rPr>
              <w:t xml:space="preserve"> придбання мобільних вбиралень, прочищення вуличних колодязів,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послугa з обов’язкового технічного контролю  ТЗ, за категорією №1 – вантажні автомобілі з повною масою до 3,5т.;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 послуга з обов’язкового технічного контролю   ТЗ за категорією М1 – легкові автомобілі до 8 місць для сидіння та інше.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2025-2027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роки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0"/>
                <w:rFonts w:eastAsia="Microsoft Sans Serif"/>
                <w:b w:val="0"/>
                <w:bCs w:val="0"/>
              </w:rPr>
            </w:pPr>
            <w:r>
              <w:rPr>
                <w:rStyle w:val="950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rStyle w:val="950"/>
                <w:rFonts w:eastAsia="Microsoft Sans Serif"/>
                <w:b w:val="0"/>
                <w:bCs w:val="0"/>
              </w:rPr>
            </w:r>
            <w:r>
              <w:rPr>
                <w:rStyle w:val="950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480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5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Послуги з перевезення людей човном та паромного перевезення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2025-2027 роки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0"/>
                <w:rFonts w:eastAsia="Microsoft Sans Serif"/>
                <w:b w:val="0"/>
                <w:bCs w:val="0"/>
              </w:rPr>
            </w:pPr>
            <w:r>
              <w:rPr>
                <w:rStyle w:val="950"/>
                <w:rFonts w:eastAsia="Microsoft Sans Serif"/>
                <w:b w:val="0"/>
              </w:rPr>
              <w:t xml:space="preserve">КП «Менакомунпослуга»</w:t>
            </w:r>
            <w:r>
              <w:rPr>
                <w:rStyle w:val="950"/>
                <w:rFonts w:eastAsia="Microsoft Sans Serif"/>
                <w:b w:val="0"/>
                <w:bCs w:val="0"/>
              </w:rPr>
            </w:r>
            <w:r>
              <w:rPr>
                <w:rStyle w:val="950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211,6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6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both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2025-2027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роки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0"/>
                <w:rFonts w:eastAsia="Calibri"/>
                <w:b w:val="0"/>
                <w:sz w:val="22"/>
                <w:szCs w:val="22"/>
              </w:rPr>
            </w:pPr>
            <w:r>
              <w:rPr>
                <w:rStyle w:val="950"/>
                <w:rFonts w:eastAsia="Calibri"/>
                <w:b w:val="0"/>
                <w:sz w:val="22"/>
                <w:szCs w:val="22"/>
              </w:rPr>
              <w:t xml:space="preserve">КП «Менакомун-послуга»</w:t>
            </w:r>
            <w:r>
              <w:rPr>
                <w:rStyle w:val="950"/>
                <w:rFonts w:eastAsia="Calibri"/>
                <w:b w:val="0"/>
                <w:sz w:val="22"/>
                <w:szCs w:val="22"/>
              </w:rPr>
            </w:r>
            <w:r>
              <w:rPr>
                <w:rStyle w:val="950"/>
                <w:rFonts w:eastAsia="Calibri"/>
                <w:b w:val="0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  <w:lang w:val="uk-UA"/>
              </w:rPr>
              <w:t xml:space="preserve">3</w:t>
            </w:r>
            <w:r>
              <w:rPr>
                <w:color w:val="000000"/>
                <w:highlight w:val="white"/>
              </w:rPr>
              <w:t xml:space="preserve">00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7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rPr>
                <w:rStyle w:val="962"/>
                <w:rFonts w:eastAsia="Arial"/>
                <w:color w:val="000000"/>
                <w:sz w:val="22"/>
                <w:szCs w:val="22"/>
              </w:rPr>
            </w:pP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Нове будівництво кладовища в межах земельної ділянки площею 6 га в місті Мена Чернігівської області, кадастровий номер </w:t>
            </w: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</w:rPr>
              <w:t xml:space="preserve">7423010100:01:004:1057</w:t>
            </w: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>
              <w:rPr>
                <w:rStyle w:val="962"/>
                <w:rFonts w:eastAsia="Arial"/>
                <w:color w:val="000000"/>
                <w:sz w:val="22"/>
                <w:szCs w:val="22"/>
              </w:rPr>
            </w:r>
            <w:r>
              <w:rPr>
                <w:rStyle w:val="962"/>
                <w:rFonts w:eastAsia="Arial"/>
                <w:color w:val="000000"/>
                <w:sz w:val="22"/>
                <w:szCs w:val="22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62"/>
                <w:rFonts w:eastAsia="Arial"/>
                <w:color w:val="000000"/>
                <w:sz w:val="22"/>
                <w:szCs w:val="22"/>
              </w:rPr>
            </w:pPr>
            <w:r>
              <w:rPr>
                <w:rStyle w:val="962"/>
                <w:rFonts w:eastAsia="Arial"/>
                <w:color w:val="000000"/>
                <w:sz w:val="22"/>
                <w:szCs w:val="22"/>
              </w:rPr>
            </w:r>
            <w:r>
              <w:rPr>
                <w:rStyle w:val="962"/>
                <w:rFonts w:eastAsia="Arial"/>
                <w:color w:val="000000"/>
                <w:sz w:val="22"/>
                <w:szCs w:val="22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-Інженерно-геологічні вишукування та камеральні роботи в межах земельної ділянки площею </w:t>
            </w: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</w:rPr>
              <w:t xml:space="preserve">6 га в місті Мена Чернігівської області, кадастровий номер 7423010100:01:004:1057</w:t>
            </w:r>
            <w:r>
              <w:rPr>
                <w:rStyle w:val="962"/>
                <w:rFonts w:eastAsia="Arial"/>
                <w:bCs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;</w:t>
            </w:r>
            <w:r>
              <w:rPr>
                <w:rStyle w:val="946"/>
                <w:rFonts w:eastAsia="Calibri"/>
              </w:rPr>
              <w:t xml:space="preserve"> 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-Інженерно-геодезичні вишукування;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-Виготовлення проєктно-кошторисної документації та проведення експертизи;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-Вартість будівельних робіт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2025-2027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  <w:p>
            <w:pPr>
              <w:pStyle w:val="726"/>
              <w:pBdr/>
              <w:spacing/>
              <w:ind w:right="57" w:left="57"/>
              <w:jc w:val="center"/>
              <w:rPr>
                <w:rStyle w:val="946"/>
                <w:rFonts w:eastAsia="Calibri"/>
              </w:rPr>
            </w:pPr>
            <w:r>
              <w:rPr>
                <w:rStyle w:val="946"/>
                <w:rFonts w:eastAsia="Calibri"/>
              </w:rPr>
              <w:t xml:space="preserve">роки</w:t>
            </w:r>
            <w:r>
              <w:rPr>
                <w:rStyle w:val="946"/>
                <w:rFonts w:eastAsia="Calibri"/>
              </w:rPr>
            </w:r>
            <w:r>
              <w:rPr>
                <w:rStyle w:val="946"/>
                <w:rFonts w:eastAsia="Calibri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0"/>
                <w:rFonts w:eastAsia="Calibri"/>
                <w:b w:val="0"/>
                <w:sz w:val="22"/>
                <w:szCs w:val="22"/>
              </w:rPr>
            </w:pPr>
            <w:r>
              <w:rPr>
                <w:rStyle w:val="950"/>
                <w:rFonts w:eastAsia="Calibri"/>
                <w:b w:val="0"/>
                <w:sz w:val="22"/>
                <w:szCs w:val="22"/>
              </w:rPr>
              <w:t xml:space="preserve">КП «Менакомун-послуга»</w:t>
            </w:r>
            <w:r>
              <w:rPr>
                <w:rStyle w:val="950"/>
                <w:rFonts w:eastAsia="Calibri"/>
                <w:b w:val="0"/>
                <w:sz w:val="22"/>
                <w:szCs w:val="22"/>
              </w:rPr>
            </w:r>
            <w:r>
              <w:rPr>
                <w:rStyle w:val="950"/>
                <w:rFonts w:eastAsia="Calibri"/>
                <w:b w:val="0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/>
              <w:jc w:val="center"/>
              <w:rPr/>
            </w:pPr>
            <w:r>
              <w:t xml:space="preserve">Разом:   </w:t>
            </w:r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>
              <w:t xml:space="preserve">112,0</w:t>
            </w:r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>
              <w:rPr>
                <w:lang w:val="uk-UA"/>
              </w:rPr>
              <w:t xml:space="preserve">60,0</w:t>
            </w:r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>
              <w:rPr>
                <w:lang w:val="uk-UA"/>
              </w:rPr>
              <w:t xml:space="preserve">52,0</w:t>
            </w:r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Разом:   1388,0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>
                <w:highlight w:val="white"/>
              </w:rPr>
            </w:pPr>
            <w:r>
              <w:rPr>
                <w:highlight w:val="white"/>
                <w:lang w:val="uk-UA"/>
              </w:rPr>
              <w:t xml:space="preserve">230, 0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 w:left="57"/>
              <w:jc w:val="center"/>
              <w:rPr/>
            </w:pPr>
            <w:r/>
            <w:r/>
          </w:p>
          <w:p>
            <w:pPr>
              <w:pStyle w:val="726"/>
              <w:pBdr/>
              <w:spacing/>
              <w:ind w:right="57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1158,0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46"/>
                <w:rFonts w:eastAsia="Microsoft Sans Serif"/>
              </w:rPr>
            </w:pPr>
            <w:r>
              <w:rPr>
                <w:rStyle w:val="946"/>
                <w:rFonts w:eastAsia="Microsoft Sans Serif"/>
              </w:rPr>
              <w:t xml:space="preserve">8</w:t>
            </w:r>
            <w:r>
              <w:rPr>
                <w:rStyle w:val="946"/>
                <w:rFonts w:eastAsia="Microsoft Sans Serif"/>
              </w:rPr>
            </w:r>
            <w:r>
              <w:rPr>
                <w:rStyle w:val="946"/>
                <w:rFonts w:eastAsia="Microsoft Sans Serif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13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Разом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/>
          </w:tcPr>
          <w:p>
            <w:pPr>
              <w:pStyle w:val="726"/>
              <w:pBdr/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4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rPr>
                <w:rStyle w:val="950"/>
                <w:rFonts w:eastAsia="Microsoft Sans Serif"/>
                <w:b w:val="0"/>
                <w:bCs w:val="0"/>
              </w:rPr>
            </w:pPr>
            <w:r>
              <w:rPr>
                <w:rStyle w:val="950"/>
                <w:rFonts w:eastAsia="Microsoft Sans Serif"/>
                <w:b w:val="0"/>
                <w:bCs w:val="0"/>
              </w:rPr>
            </w:r>
            <w:r>
              <w:rPr>
                <w:rStyle w:val="950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12902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1706</w:t>
            </w:r>
            <w:r>
              <w:rPr>
                <w:color w:val="000000"/>
                <w:highlight w:val="white"/>
                <w:lang w:val="uk-UA"/>
              </w:rPr>
              <w:t xml:space="preserve">8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3" w:type="dxa"/>
            <w:vAlign w:val="top"/>
            <w:textDirection w:val="lrTb"/>
            <w:noWrap/>
          </w:tcPr>
          <w:p>
            <w:pPr>
              <w:pStyle w:val="726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17561,6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726"/>
        <w:pBdr/>
        <w:tabs>
          <w:tab w:val="left" w:leader="none" w:pos="567"/>
          <w:tab w:val="left" w:leader="none" w:pos="2038"/>
        </w:tabs>
        <w:spacing/>
        <w:ind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ab/>
        <w:t xml:space="preserve">Головним розпорядником коштів за Програмою виступає Менська міська рада.</w:t>
      </w:r>
      <w:r>
        <w:rPr>
          <w:color w:val="000000"/>
          <w:sz w:val="28"/>
          <w:szCs w:val="28"/>
          <w:highlight w:val="white"/>
        </w:rPr>
      </w:r>
      <w:r>
        <w:rPr>
          <w:color w:val="000000"/>
          <w:sz w:val="28"/>
          <w:szCs w:val="28"/>
          <w:highlight w:val="white"/>
        </w:rPr>
      </w:r>
    </w:p>
    <w:p>
      <w:pPr>
        <w:pStyle w:val="726"/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53"/>
          <w:rFonts w:eastAsia="Calibri"/>
          <w:b w:val="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Одержувачем коштів </w:t>
      </w:r>
      <w:r>
        <w:rPr>
          <w:color w:val="000000"/>
          <w:sz w:val="28"/>
          <w:szCs w:val="28"/>
          <w:highlight w:val="white"/>
          <w:lang w:eastAsia="ru-RU" w:bidi="ru-RU"/>
        </w:rPr>
        <w:t xml:space="preserve">є </w:t>
      </w:r>
      <w:r>
        <w:rPr>
          <w:color w:val="000000"/>
          <w:sz w:val="28"/>
          <w:szCs w:val="28"/>
          <w:highlight w:val="white"/>
        </w:rPr>
        <w:t xml:space="preserve">КП «Менакомунпослуга» Менської міської ради</w:t>
      </w:r>
      <w:r>
        <w:rPr>
          <w:rStyle w:val="953"/>
          <w:rFonts w:eastAsia="Calibri"/>
          <w:b w:val="0"/>
          <w:sz w:val="28"/>
          <w:szCs w:val="28"/>
          <w:highlight w:val="white"/>
        </w:rPr>
        <w:t xml:space="preserve">.</w:t>
      </w:r>
      <w:r>
        <w:rPr>
          <w:rStyle w:val="953"/>
          <w:rFonts w:eastAsia="Calibri"/>
          <w:b w:val="0"/>
          <w:sz w:val="28"/>
          <w:szCs w:val="28"/>
          <w:highlight w:val="white"/>
        </w:rPr>
      </w:r>
      <w:r>
        <w:rPr>
          <w:rStyle w:val="953"/>
          <w:rFonts w:eastAsia="Calibri"/>
          <w:b w:val="0"/>
          <w:sz w:val="28"/>
          <w:szCs w:val="28"/>
          <w:highlight w:val="white"/>
        </w:rPr>
      </w:r>
    </w:p>
    <w:p>
      <w:pPr>
        <w:pStyle w:val="726"/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53"/>
          <w:rFonts w:eastAsia="Calibri"/>
          <w:b w:val="0"/>
          <w:sz w:val="28"/>
          <w:szCs w:val="28"/>
          <w:highlight w:val="white"/>
        </w:rPr>
      </w:pPr>
      <w:r>
        <w:rPr>
          <w:rStyle w:val="953"/>
          <w:rFonts w:eastAsia="Calibri"/>
          <w:b w:val="0"/>
          <w:sz w:val="28"/>
          <w:szCs w:val="28"/>
          <w:highlight w:val="white"/>
        </w:rPr>
        <w:t xml:space="preserve">У разі неспроможності виконання вище перерахованих робіт своїми силами, КП </w:t>
      </w:r>
      <w:r>
        <w:rPr>
          <w:color w:val="000000"/>
          <w:sz w:val="28"/>
          <w:szCs w:val="28"/>
          <w:highlight w:val="white"/>
          <w:lang w:val="uk-UA"/>
        </w:rPr>
        <w:t xml:space="preserve">«Менакомунпослуга» має право залучати підрядні організації для їх виконання.</w:t>
      </w:r>
      <w:r>
        <w:rPr>
          <w:rStyle w:val="953"/>
          <w:rFonts w:eastAsia="Calibri"/>
          <w:b w:val="0"/>
          <w:sz w:val="28"/>
          <w:szCs w:val="28"/>
          <w:highlight w:val="white"/>
        </w:rPr>
      </w:r>
      <w:r>
        <w:rPr>
          <w:rStyle w:val="953"/>
          <w:rFonts w:eastAsia="Calibri"/>
          <w:b w:val="0"/>
          <w:sz w:val="28"/>
          <w:szCs w:val="28"/>
          <w:highlight w:val="white"/>
        </w:rPr>
      </w:r>
    </w:p>
    <w:p>
      <w:pPr>
        <w:pStyle w:val="734"/>
        <w:widowControl w:val="false"/>
        <w:numPr>
          <w:ilvl w:val="0"/>
          <w:numId w:val="6"/>
        </w:numPr>
        <w:pBdr/>
        <w:tabs>
          <w:tab w:val="left" w:leader="none" w:pos="284"/>
          <w:tab w:val="left" w:leader="none" w:pos="1380"/>
        </w:tabs>
        <w:spacing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Очікувані результати реалізації Програми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0"/>
          <w:tab w:val="left" w:leader="none" w:pos="1380"/>
        </w:tabs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Зменшення парослі, чагарників, стихійних сміттєзвалищ в порівнянні з по</w:t>
      </w:r>
      <w:r>
        <w:rPr>
          <w:color w:val="000000"/>
          <w:sz w:val="28"/>
          <w:szCs w:val="28"/>
          <w:lang w:val="uk-UA"/>
        </w:rPr>
        <w:t xml:space="preserve">переднім роком. Зменшення аварій на дорогах в зимову пору року. Збільшення зелених насаджень по населених пунктах громади та вдосконалення вже існуючих. Покращення вигляду нашої громади та рівня задоволеності населення. Зменшення кількості зламаних люків.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pBdr/>
        <w:tabs>
          <w:tab w:val="left" w:leader="none" w:pos="284"/>
        </w:tabs>
        <w:spacing/>
        <w:ind/>
        <w:jc w:val="both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ab/>
        <w:t xml:space="preserve">Виконання Програми дасть можливість забезпечити: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покрашення екологічної ситуації у населених пунктах;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поліпшення санітарного стану населених пунктів територіальної громади та створення кращих умов для життєдіяльності їх мешканців;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зменшення шкідливого впливу побутових відходів на навколишнє природне середовище та здоров’я людини;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підвищення рівня якості робіт з благоустрою та управління з побутовими відходами;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впровадження сучасних технологій, спеціалізованого обладнання;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color w:val="000000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підвищення ефективності функціонування підприємства із питань благоустрою та санітарного очищення;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rStyle w:val="946"/>
          <w:rFonts w:eastAsia="Calibri"/>
          <w:sz w:val="28"/>
          <w:szCs w:val="28"/>
        </w:rPr>
      </w:pPr>
      <w:r>
        <w:rPr>
          <w:rStyle w:val="946"/>
          <w:rFonts w:eastAsia="Calibri"/>
          <w:sz w:val="28"/>
          <w:szCs w:val="28"/>
        </w:rPr>
        <w:t xml:space="preserve">поліпшення естетичного вигляду населених пунктів;</w:t>
      </w:r>
      <w:r>
        <w:rPr>
          <w:rStyle w:val="946"/>
          <w:rFonts w:eastAsia="Calibri"/>
          <w:sz w:val="28"/>
          <w:szCs w:val="28"/>
        </w:rPr>
      </w:r>
      <w:r>
        <w:rPr>
          <w:rStyle w:val="946"/>
          <w:rFonts w:eastAsia="Calibri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відділу житлово-комунального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господарства та комунального майна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26"/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Менської міської ради                                                      </w:t>
        <w:tab/>
        <w:t xml:space="preserve">Ірина ЄКИМЕНКО</w:t>
      </w:r>
      <w:r>
        <w:rPr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510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icrosoft Sans Serif">
    <w:panose1 w:val="020B0604020202020204"/>
  </w:font>
  <w:font w:name="Segoe UI">
    <w:panose1 w:val="020B0502040504020204"/>
  </w:font>
  <w:font w:name="Candara">
    <w:panose1 w:val="020F0502020204030204"/>
  </w:font>
  <w:font w:name="Times New Roman">
    <w:panose1 w:val="02020603050405020304"/>
  </w:font>
  <w:font w:name="Calibri">
    <w:panose1 w:val="020F05020202040302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pBdr/>
      <w:spacing/>
      <w:ind/>
      <w:jc w:val="right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pBdr/>
      <w:spacing/>
      <w:ind w:firstLine="4535"/>
      <w:jc w:val="right"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8</w:t>
    </w:r>
    <w:r>
      <w:fldChar w:fldCharType="end"/>
    </w:r>
    <w:r>
      <w:t xml:space="preserve">                                                          продовження додатка</w:t>
    </w:r>
    <w:r/>
  </w:p>
  <w:p>
    <w:pPr>
      <w:pStyle w:val="94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65638"/>
    <w:lvl w:ilvl="0">
      <w:isLgl w:val="false"/>
      <w:lvlJc w:val="left"/>
      <w:lvlText w:val="-"/>
      <w:numFmt w:val="bullet"/>
      <w:pPr>
        <w:pBdr/>
        <w:spacing/>
        <w:ind w:hanging="360" w:left="1494"/>
      </w:pPr>
      <w:rPr>
        <w:rFonts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nsid w:val="0B9A4808"/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2">
    <w:nsid w:val="2B0473D4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nsid w:val="44BD461E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nsid w:val="54434E0A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5">
    <w:nsid w:val="5D1B0C0C"/>
    <w:lvl w:ilvl="0">
      <w:isLgl w:val="false"/>
      <w:lvlJc w:val="left"/>
      <w:lvlText w:val=""/>
      <w:numFmt w:val="bullet"/>
      <w:pPr>
        <w:pBdr/>
        <w:spacing/>
        <w:ind w:hanging="360" w:left="1494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nsid w:val="72464834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26"/>
    <w:next w:val="726"/>
    <w:link w:val="76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26"/>
    <w:next w:val="726"/>
    <w:link w:val="77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26"/>
    <w:next w:val="726"/>
    <w:link w:val="7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26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26"/>
    <w:next w:val="726"/>
    <w:link w:val="77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26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26"/>
    <w:link w:val="91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26"/>
    <w:link w:val="9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26"/>
    <w:next w:val="7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26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26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26"/>
    <w:next w:val="726"/>
    <w:uiPriority w:val="39"/>
    <w:unhideWhenUsed/>
    <w:pPr>
      <w:pBdr/>
      <w:spacing w:after="100"/>
      <w:ind/>
    </w:pPr>
  </w:style>
  <w:style w:type="paragraph" w:styleId="190">
    <w:name w:val="toc 2"/>
    <w:basedOn w:val="726"/>
    <w:next w:val="726"/>
    <w:uiPriority w:val="39"/>
    <w:unhideWhenUsed/>
    <w:pPr>
      <w:pBdr/>
      <w:spacing w:after="100"/>
      <w:ind w:left="220"/>
    </w:pPr>
  </w:style>
  <w:style w:type="paragraph" w:styleId="191">
    <w:name w:val="toc 3"/>
    <w:basedOn w:val="726"/>
    <w:next w:val="726"/>
    <w:uiPriority w:val="39"/>
    <w:unhideWhenUsed/>
    <w:pPr>
      <w:pBdr/>
      <w:spacing w:after="100"/>
      <w:ind w:left="440"/>
    </w:pPr>
  </w:style>
  <w:style w:type="paragraph" w:styleId="192">
    <w:name w:val="toc 4"/>
    <w:basedOn w:val="726"/>
    <w:next w:val="726"/>
    <w:uiPriority w:val="39"/>
    <w:unhideWhenUsed/>
    <w:pPr>
      <w:pBdr/>
      <w:spacing w:after="100"/>
      <w:ind w:left="660"/>
    </w:pPr>
  </w:style>
  <w:style w:type="paragraph" w:styleId="193">
    <w:name w:val="toc 5"/>
    <w:basedOn w:val="726"/>
    <w:next w:val="726"/>
    <w:uiPriority w:val="39"/>
    <w:unhideWhenUsed/>
    <w:pPr>
      <w:pBdr/>
      <w:spacing w:after="100"/>
      <w:ind w:left="880"/>
    </w:pPr>
  </w:style>
  <w:style w:type="paragraph" w:styleId="194">
    <w:name w:val="toc 6"/>
    <w:basedOn w:val="726"/>
    <w:next w:val="726"/>
    <w:uiPriority w:val="39"/>
    <w:unhideWhenUsed/>
    <w:pPr>
      <w:pBdr/>
      <w:spacing w:after="100"/>
      <w:ind w:left="1100"/>
    </w:pPr>
  </w:style>
  <w:style w:type="paragraph" w:styleId="195">
    <w:name w:val="toc 7"/>
    <w:basedOn w:val="726"/>
    <w:next w:val="726"/>
    <w:uiPriority w:val="39"/>
    <w:unhideWhenUsed/>
    <w:pPr>
      <w:pBdr/>
      <w:spacing w:after="100"/>
      <w:ind w:left="1320"/>
    </w:pPr>
  </w:style>
  <w:style w:type="paragraph" w:styleId="196">
    <w:name w:val="toc 8"/>
    <w:basedOn w:val="726"/>
    <w:next w:val="726"/>
    <w:uiPriority w:val="39"/>
    <w:unhideWhenUsed/>
    <w:pPr>
      <w:pBdr/>
      <w:spacing w:after="100"/>
      <w:ind w:left="1540"/>
    </w:pPr>
  </w:style>
  <w:style w:type="paragraph" w:styleId="197">
    <w:name w:val="toc 9"/>
    <w:basedOn w:val="726"/>
    <w:next w:val="726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26"/>
    <w:next w:val="726"/>
    <w:uiPriority w:val="99"/>
    <w:unhideWhenUsed/>
    <w:pPr>
      <w:pBdr/>
      <w:spacing w:after="0" w:afterAutospacing="0"/>
      <w:ind/>
    </w:pPr>
  </w:style>
  <w:style w:type="paragraph" w:styleId="726" w:default="1">
    <w:name w:val="Normal"/>
    <w:next w:val="726"/>
    <w:link w:val="726"/>
    <w:qFormat/>
    <w:pPr>
      <w:pBdr/>
      <w:spacing/>
      <w:ind/>
    </w:pPr>
    <w:rPr>
      <w:lang w:val="ru-RU" w:eastAsia="zh-CN" w:bidi="ar-SA"/>
    </w:rPr>
  </w:style>
  <w:style w:type="character" w:styleId="727">
    <w:name w:val="Основной шрифт абзаца"/>
    <w:next w:val="727"/>
    <w:link w:val="726"/>
    <w:uiPriority w:val="1"/>
    <w:semiHidden/>
    <w:unhideWhenUsed/>
    <w:pPr>
      <w:pBdr/>
      <w:spacing/>
      <w:ind/>
    </w:pPr>
  </w:style>
  <w:style w:type="table" w:styleId="728">
    <w:name w:val="Обычная таблица"/>
    <w:next w:val="728"/>
    <w:link w:val="726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9">
    <w:name w:val="Нет списка"/>
    <w:next w:val="729"/>
    <w:link w:val="726"/>
    <w:uiPriority w:val="99"/>
    <w:semiHidden/>
    <w:unhideWhenUsed/>
    <w:pPr>
      <w:pBdr/>
      <w:spacing/>
      <w:ind/>
    </w:pPr>
  </w:style>
  <w:style w:type="table" w:styleId="730">
    <w:name w:val="Сетка таблицы"/>
    <w:basedOn w:val="728"/>
    <w:next w:val="730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1">
    <w:name w:val="Название"/>
    <w:basedOn w:val="726"/>
    <w:next w:val="726"/>
    <w:link w:val="907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2">
    <w:name w:val="Подзаголовок"/>
    <w:basedOn w:val="726"/>
    <w:next w:val="726"/>
    <w:link w:val="908"/>
    <w:uiPriority w:val="11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33">
    <w:name w:val="Цитата 2"/>
    <w:basedOn w:val="726"/>
    <w:next w:val="726"/>
    <w:link w:val="909"/>
    <w:uiPriority w:val="29"/>
    <w:pPr>
      <w:pBdr/>
      <w:spacing/>
      <w:ind w:right="720" w:left="720"/>
    </w:pPr>
    <w:rPr>
      <w:i/>
      <w:lang w:val="en-US" w:eastAsia="en-US"/>
    </w:rPr>
  </w:style>
  <w:style w:type="paragraph" w:styleId="734">
    <w:name w:val="Абзац списка"/>
    <w:basedOn w:val="726"/>
    <w:next w:val="734"/>
    <w:link w:val="726"/>
    <w:pPr>
      <w:pBdr/>
      <w:spacing/>
      <w:ind w:left="720"/>
      <w:contextualSpacing w:val="true"/>
    </w:pPr>
  </w:style>
  <w:style w:type="character" w:styleId="735">
    <w:name w:val="Сильное выделение"/>
    <w:basedOn w:val="727"/>
    <w:next w:val="735"/>
    <w:link w:val="726"/>
    <w:uiPriority w:val="21"/>
    <w:qFormat/>
    <w:pPr>
      <w:pBdr/>
      <w:spacing/>
      <w:ind/>
    </w:pPr>
    <w:rPr>
      <w:i/>
      <w:iCs/>
      <w:color w:val="365f91"/>
    </w:rPr>
  </w:style>
  <w:style w:type="paragraph" w:styleId="736">
    <w:name w:val="Выделенная цитата"/>
    <w:basedOn w:val="726"/>
    <w:next w:val="726"/>
    <w:link w:val="910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en-US" w:eastAsia="en-US"/>
    </w:rPr>
  </w:style>
  <w:style w:type="character" w:styleId="737">
    <w:name w:val="Сильная ссылка"/>
    <w:basedOn w:val="727"/>
    <w:next w:val="737"/>
    <w:link w:val="726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38">
    <w:name w:val="Без интервала"/>
    <w:basedOn w:val="726"/>
    <w:next w:val="738"/>
    <w:link w:val="72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/>
    </w:rPr>
  </w:style>
  <w:style w:type="character" w:styleId="739">
    <w:name w:val="Слабое выделение"/>
    <w:basedOn w:val="727"/>
    <w:next w:val="739"/>
    <w:link w:val="726"/>
    <w:uiPriority w:val="19"/>
    <w:qFormat/>
    <w:pPr>
      <w:pBdr/>
      <w:spacing/>
      <w:ind/>
    </w:pPr>
    <w:rPr>
      <w:i/>
      <w:iCs/>
      <w:color w:val="404040"/>
    </w:rPr>
  </w:style>
  <w:style w:type="character" w:styleId="740">
    <w:name w:val="Выделение"/>
    <w:basedOn w:val="727"/>
    <w:next w:val="740"/>
    <w:link w:val="726"/>
    <w:pPr>
      <w:pBdr/>
      <w:spacing/>
      <w:ind/>
    </w:pPr>
    <w:rPr>
      <w:i/>
      <w:iCs/>
    </w:rPr>
  </w:style>
  <w:style w:type="character" w:styleId="741">
    <w:name w:val="Строгий"/>
    <w:basedOn w:val="727"/>
    <w:next w:val="741"/>
    <w:link w:val="726"/>
    <w:uiPriority w:val="22"/>
    <w:qFormat/>
    <w:pPr>
      <w:pBdr/>
      <w:spacing/>
      <w:ind/>
    </w:pPr>
    <w:rPr>
      <w:b/>
      <w:bCs/>
    </w:rPr>
  </w:style>
  <w:style w:type="character" w:styleId="742">
    <w:name w:val="Слабая ссылка"/>
    <w:basedOn w:val="727"/>
    <w:next w:val="742"/>
    <w:link w:val="726"/>
    <w:uiPriority w:val="31"/>
    <w:qFormat/>
    <w:pPr>
      <w:pBdr/>
      <w:spacing/>
      <w:ind/>
    </w:pPr>
    <w:rPr>
      <w:smallCaps/>
      <w:color w:val="5a5a5a"/>
    </w:rPr>
  </w:style>
  <w:style w:type="character" w:styleId="743">
    <w:name w:val="Название книги"/>
    <w:basedOn w:val="727"/>
    <w:next w:val="743"/>
    <w:link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4">
    <w:name w:val="Header1"/>
    <w:basedOn w:val="726"/>
    <w:next w:val="744"/>
    <w:link w:val="91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5">
    <w:name w:val="Footer1"/>
    <w:basedOn w:val="726"/>
    <w:next w:val="745"/>
    <w:link w:val="9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6">
    <w:name w:val="Caption1"/>
    <w:basedOn w:val="726"/>
    <w:next w:val="726"/>
    <w:link w:val="726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47">
    <w:name w:val="Текст сноски"/>
    <w:basedOn w:val="726"/>
    <w:next w:val="747"/>
    <w:link w:val="934"/>
    <w:uiPriority w:val="99"/>
    <w:semiHidden/>
    <w:pPr>
      <w:pBdr/>
      <w:spacing w:after="40"/>
      <w:ind/>
    </w:pPr>
    <w:rPr>
      <w:sz w:val="18"/>
      <w:lang w:val="en-US" w:eastAsia="en-US"/>
    </w:rPr>
  </w:style>
  <w:style w:type="character" w:styleId="748">
    <w:name w:val="Знак сноски"/>
    <w:basedOn w:val="727"/>
    <w:next w:val="748"/>
    <w:link w:val="726"/>
    <w:pPr>
      <w:pBdr/>
      <w:spacing/>
      <w:ind/>
    </w:pPr>
    <w:rPr>
      <w:vertAlign w:val="superscript"/>
    </w:rPr>
  </w:style>
  <w:style w:type="paragraph" w:styleId="749">
    <w:name w:val="Текст концевой сноски"/>
    <w:basedOn w:val="726"/>
    <w:next w:val="749"/>
    <w:link w:val="888"/>
    <w:uiPriority w:val="99"/>
    <w:semiHidden/>
    <w:unhideWhenUsed/>
    <w:pPr>
      <w:pBdr/>
      <w:spacing/>
      <w:ind/>
    </w:pPr>
  </w:style>
  <w:style w:type="character" w:styleId="750">
    <w:name w:val="Знак концевой сноски"/>
    <w:next w:val="750"/>
    <w:link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51">
    <w:name w:val="Гиперссылка"/>
    <w:next w:val="751"/>
    <w:link w:val="726"/>
    <w:pPr>
      <w:pBdr/>
      <w:spacing/>
      <w:ind/>
    </w:pPr>
    <w:rPr>
      <w:color w:val="0000ff"/>
      <w:u w:val="single"/>
    </w:rPr>
  </w:style>
  <w:style w:type="character" w:styleId="752">
    <w:name w:val="Просмотренная гиперссылка"/>
    <w:basedOn w:val="727"/>
    <w:next w:val="752"/>
    <w:link w:val="726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3">
    <w:name w:val="Заголовок оглавления"/>
    <w:next w:val="753"/>
    <w:link w:val="72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 w:bidi="ar-SA"/>
    </w:rPr>
  </w:style>
  <w:style w:type="paragraph" w:styleId="754">
    <w:name w:val="Перечень рисунков"/>
    <w:basedOn w:val="726"/>
    <w:next w:val="754"/>
    <w:link w:val="726"/>
    <w:uiPriority w:val="99"/>
    <w:unhideWhenUsed/>
    <w:pPr>
      <w:pBdr/>
      <w:spacing/>
      <w:ind/>
    </w:pPr>
  </w:style>
  <w:style w:type="character" w:styleId="758">
    <w:name w:val="Heading 3 Char"/>
    <w:basedOn w:val="727"/>
    <w:next w:val="758"/>
    <w:link w:val="767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759">
    <w:name w:val="Heading 5 Char"/>
    <w:basedOn w:val="727"/>
    <w:next w:val="759"/>
    <w:link w:val="769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760">
    <w:name w:val="Heading 6 Char"/>
    <w:basedOn w:val="727"/>
    <w:next w:val="760"/>
    <w:link w:val="770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761">
    <w:name w:val="Heading 7 Char"/>
    <w:basedOn w:val="727"/>
    <w:next w:val="761"/>
    <w:link w:val="771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762">
    <w:name w:val="Heading 8 Char"/>
    <w:basedOn w:val="727"/>
    <w:next w:val="762"/>
    <w:link w:val="772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63">
    <w:name w:val="Heading 9 Char"/>
    <w:basedOn w:val="727"/>
    <w:next w:val="763"/>
    <w:link w:val="773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64">
    <w:name w:val="Title Char"/>
    <w:basedOn w:val="727"/>
    <w:next w:val="764"/>
    <w:link w:val="73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65">
    <w:name w:val="Heading 1"/>
    <w:basedOn w:val="726"/>
    <w:next w:val="726"/>
    <w:link w:val="940"/>
    <w:pPr>
      <w:keepNext w:val="true"/>
      <w:pBdr/>
      <w:spacing w:after="60" w:before="240"/>
      <w:ind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paragraph" w:styleId="766">
    <w:name w:val="Heading 2"/>
    <w:basedOn w:val="726"/>
    <w:next w:val="726"/>
    <w:link w:val="935"/>
    <w:pPr>
      <w:keepNext w:val="true"/>
      <w:numPr>
        <w:ilvl w:val="3"/>
      </w:numPr>
      <w:pBdr/>
      <w:tabs>
        <w:tab w:val="left" w:leader="none" w:pos="0"/>
        <w:tab w:val="left" w:leader="none" w:pos="3544"/>
      </w:tabs>
      <w:spacing/>
      <w:ind w:right="482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767">
    <w:name w:val="Heading 3"/>
    <w:basedOn w:val="726"/>
    <w:next w:val="726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68">
    <w:name w:val="Heading 4"/>
    <w:basedOn w:val="726"/>
    <w:next w:val="726"/>
    <w:link w:val="938"/>
    <w:pPr>
      <w:keepNext w:val="true"/>
      <w:pBdr/>
      <w:spacing w:after="60" w:before="240"/>
      <w:ind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769">
    <w:name w:val="Heading 5"/>
    <w:basedOn w:val="726"/>
    <w:next w:val="726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70">
    <w:name w:val="Heading 6"/>
    <w:basedOn w:val="726"/>
    <w:next w:val="726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71">
    <w:name w:val="Heading 7"/>
    <w:basedOn w:val="726"/>
    <w:next w:val="726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72">
    <w:name w:val="Heading 8"/>
    <w:basedOn w:val="726"/>
    <w:next w:val="726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73">
    <w:name w:val="Heading 9"/>
    <w:basedOn w:val="726"/>
    <w:next w:val="726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paragraph" w:styleId="774">
    <w:name w:val="Название1"/>
    <w:basedOn w:val="726"/>
    <w:next w:val="726"/>
    <w:link w:val="939"/>
    <w:pPr>
      <w:pBdr/>
      <w:spacing w:after="60" w:before="240"/>
      <w:ind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styleId="775">
    <w:name w:val="Endnote Text Char"/>
    <w:basedOn w:val="727"/>
    <w:next w:val="775"/>
    <w:link w:val="749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Subtitle Char"/>
    <w:next w:val="776"/>
    <w:link w:val="726"/>
    <w:uiPriority w:val="11"/>
    <w:pPr>
      <w:pBdr/>
      <w:spacing/>
      <w:ind/>
    </w:pPr>
    <w:rPr>
      <w:sz w:val="24"/>
      <w:szCs w:val="24"/>
    </w:rPr>
  </w:style>
  <w:style w:type="character" w:styleId="777">
    <w:name w:val="Quote Char"/>
    <w:next w:val="777"/>
    <w:link w:val="726"/>
    <w:uiPriority w:val="29"/>
    <w:pPr>
      <w:pBdr/>
      <w:spacing/>
      <w:ind/>
    </w:pPr>
    <w:rPr>
      <w:i/>
    </w:rPr>
  </w:style>
  <w:style w:type="character" w:styleId="778">
    <w:name w:val="Intense Quote Char"/>
    <w:next w:val="778"/>
    <w:link w:val="726"/>
    <w:uiPriority w:val="30"/>
    <w:pPr>
      <w:pBdr/>
      <w:spacing/>
      <w:ind/>
    </w:pPr>
    <w:rPr>
      <w:i/>
    </w:rPr>
  </w:style>
  <w:style w:type="paragraph" w:styleId="779">
    <w:name w:val="Caption1"/>
    <w:next w:val="779"/>
    <w:link w:val="726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80">
    <w:name w:val="Caption Char"/>
    <w:next w:val="780"/>
    <w:link w:val="726"/>
    <w:uiPriority w:val="99"/>
    <w:pPr>
      <w:pBdr/>
      <w:spacing/>
      <w:ind/>
    </w:pPr>
  </w:style>
  <w:style w:type="table" w:styleId="781">
    <w:name w:val="Table Grid Light"/>
    <w:next w:val="781"/>
    <w:link w:val="726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Plain Table 1"/>
    <w:next w:val="782"/>
    <w:link w:val="726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2"/>
    <w:next w:val="783"/>
    <w:link w:val="726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3"/>
    <w:next w:val="78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4"/>
    <w:next w:val="78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5"/>
    <w:next w:val="78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1 Light"/>
    <w:next w:val="78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 - Accent 1"/>
    <w:next w:val="78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1 Light - Accent 2"/>
    <w:next w:val="78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 - Accent 3"/>
    <w:next w:val="79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4"/>
    <w:next w:val="79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5"/>
    <w:next w:val="79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6"/>
    <w:next w:val="79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2"/>
    <w:next w:val="79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 - Accent 1"/>
    <w:next w:val="79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2 - Accent 2"/>
    <w:next w:val="79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 - Accent 3"/>
    <w:next w:val="79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4"/>
    <w:next w:val="79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5"/>
    <w:next w:val="79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6"/>
    <w:next w:val="80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3"/>
    <w:next w:val="80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 - Accent 1"/>
    <w:next w:val="80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3 - Accent 2"/>
    <w:next w:val="80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 - Accent 3"/>
    <w:next w:val="80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4"/>
    <w:next w:val="80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5"/>
    <w:next w:val="80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6"/>
    <w:next w:val="80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"/>
    <w:next w:val="808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 - Accent 1"/>
    <w:next w:val="809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4 - Accent 2"/>
    <w:next w:val="810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 - Accent 3"/>
    <w:next w:val="811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4"/>
    <w:next w:val="812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5"/>
    <w:next w:val="813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6"/>
    <w:next w:val="814"/>
    <w:link w:val="726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5 Dark"/>
    <w:next w:val="81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- Accent 1"/>
    <w:next w:val="81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5 Dark - Accent 2"/>
    <w:next w:val="81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 - Accent 3"/>
    <w:next w:val="81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- Accent 4"/>
    <w:next w:val="81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 - Accent 5"/>
    <w:next w:val="82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6"/>
    <w:next w:val="82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6 Colorful"/>
    <w:next w:val="82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 - Accent 1"/>
    <w:next w:val="82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6 Colorful - Accent 2"/>
    <w:next w:val="82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 - Accent 3"/>
    <w:next w:val="82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4"/>
    <w:next w:val="82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5"/>
    <w:next w:val="82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6"/>
    <w:next w:val="82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7 Colorful"/>
    <w:next w:val="82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 - Accent 1"/>
    <w:next w:val="83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7 Colorful - Accent 2"/>
    <w:next w:val="83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 - Accent 3"/>
    <w:next w:val="83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4"/>
    <w:next w:val="83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5"/>
    <w:next w:val="83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6"/>
    <w:next w:val="83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1 Light"/>
    <w:next w:val="83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 - Accent 1"/>
    <w:next w:val="83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1 Light - Accent 2"/>
    <w:next w:val="83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 - Accent 3"/>
    <w:next w:val="83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4"/>
    <w:next w:val="84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5"/>
    <w:next w:val="84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6"/>
    <w:next w:val="84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2"/>
    <w:next w:val="84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 - Accent 1"/>
    <w:next w:val="84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2 - Accent 2"/>
    <w:next w:val="84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 - Accent 3"/>
    <w:next w:val="84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4"/>
    <w:next w:val="84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5"/>
    <w:next w:val="84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6"/>
    <w:next w:val="84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3"/>
    <w:next w:val="85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 - Accent 1"/>
    <w:next w:val="85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3 - Accent 2"/>
    <w:next w:val="85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 - Accent 3"/>
    <w:next w:val="85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4"/>
    <w:next w:val="85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5"/>
    <w:next w:val="85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6"/>
    <w:next w:val="85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"/>
    <w:next w:val="85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 - Accent 1"/>
    <w:next w:val="85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 - Accent 2"/>
    <w:next w:val="85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 - Accent 3"/>
    <w:next w:val="86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4"/>
    <w:next w:val="86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5"/>
    <w:next w:val="86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6"/>
    <w:next w:val="86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5 Dark"/>
    <w:next w:val="86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 - Accent 1"/>
    <w:next w:val="86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5 Dark - Accent 2"/>
    <w:next w:val="86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 - Accent 3"/>
    <w:next w:val="86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4"/>
    <w:next w:val="86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5"/>
    <w:next w:val="86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6"/>
    <w:next w:val="87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6 Colorful"/>
    <w:next w:val="87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 - Accent 1"/>
    <w:next w:val="87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6 Colorful - Accent 2"/>
    <w:next w:val="87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 - Accent 3"/>
    <w:next w:val="87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4"/>
    <w:next w:val="875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5"/>
    <w:next w:val="876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6"/>
    <w:next w:val="877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"/>
    <w:next w:val="878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 - Accent 1"/>
    <w:next w:val="879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7 Colorful - Accent 2"/>
    <w:next w:val="880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 - Accent 3"/>
    <w:next w:val="881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4"/>
    <w:next w:val="882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5"/>
    <w:next w:val="883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6"/>
    <w:next w:val="884"/>
    <w:link w:val="726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ned - Accent"/>
    <w:next w:val="885"/>
    <w:link w:val="726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&amp; Lined - Accent"/>
    <w:next w:val="886"/>
    <w:link w:val="726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Footnote Text Char"/>
    <w:next w:val="887"/>
    <w:link w:val="726"/>
    <w:uiPriority w:val="99"/>
    <w:pPr>
      <w:pBdr/>
      <w:spacing/>
      <w:ind/>
    </w:pPr>
    <w:rPr>
      <w:sz w:val="18"/>
    </w:rPr>
  </w:style>
  <w:style w:type="character" w:styleId="888">
    <w:name w:val="Текст концевой сноски Знак"/>
    <w:next w:val="888"/>
    <w:link w:val="749"/>
    <w:uiPriority w:val="99"/>
    <w:semiHidden/>
    <w:pPr>
      <w:pBdr/>
      <w:spacing/>
      <w:ind/>
    </w:pPr>
    <w:rPr>
      <w:lang w:val="ru-RU" w:eastAsia="zh-CN" w:bidi="ar-SA"/>
    </w:rPr>
  </w:style>
  <w:style w:type="paragraph" w:styleId="889">
    <w:name w:val="Оглавление 1"/>
    <w:basedOn w:val="726"/>
    <w:next w:val="726"/>
    <w:link w:val="726"/>
    <w:pPr>
      <w:pBdr/>
      <w:spacing/>
      <w:ind/>
    </w:pPr>
  </w:style>
  <w:style w:type="paragraph" w:styleId="890">
    <w:name w:val="Оглавление 2"/>
    <w:basedOn w:val="726"/>
    <w:next w:val="726"/>
    <w:link w:val="726"/>
    <w:pPr>
      <w:pBdr/>
      <w:spacing w:after="57"/>
      <w:ind w:left="283"/>
    </w:pPr>
  </w:style>
  <w:style w:type="paragraph" w:styleId="891">
    <w:name w:val="Оглавление 3"/>
    <w:basedOn w:val="726"/>
    <w:next w:val="726"/>
    <w:link w:val="726"/>
    <w:pPr>
      <w:pBdr/>
      <w:spacing w:after="57"/>
      <w:ind w:left="567"/>
    </w:pPr>
  </w:style>
  <w:style w:type="paragraph" w:styleId="892">
    <w:name w:val="Оглавление 4"/>
    <w:basedOn w:val="726"/>
    <w:next w:val="726"/>
    <w:link w:val="726"/>
    <w:pPr>
      <w:pBdr/>
      <w:spacing w:after="57"/>
      <w:ind w:left="850"/>
    </w:pPr>
  </w:style>
  <w:style w:type="paragraph" w:styleId="893">
    <w:name w:val="Оглавление 5"/>
    <w:basedOn w:val="726"/>
    <w:next w:val="726"/>
    <w:link w:val="726"/>
    <w:pPr>
      <w:pBdr/>
      <w:spacing w:after="57"/>
      <w:ind w:left="1134"/>
    </w:pPr>
  </w:style>
  <w:style w:type="paragraph" w:styleId="894">
    <w:name w:val="Оглавление 6"/>
    <w:basedOn w:val="726"/>
    <w:next w:val="726"/>
    <w:link w:val="726"/>
    <w:pPr>
      <w:pBdr/>
      <w:spacing w:after="57"/>
      <w:ind w:left="1417"/>
    </w:pPr>
  </w:style>
  <w:style w:type="paragraph" w:styleId="895">
    <w:name w:val="Оглавление 7"/>
    <w:basedOn w:val="726"/>
    <w:next w:val="726"/>
    <w:link w:val="726"/>
    <w:pPr>
      <w:pBdr/>
      <w:spacing w:after="57"/>
      <w:ind w:left="1701"/>
    </w:pPr>
  </w:style>
  <w:style w:type="paragraph" w:styleId="896">
    <w:name w:val="Оглавление 8"/>
    <w:basedOn w:val="726"/>
    <w:next w:val="726"/>
    <w:link w:val="726"/>
    <w:pPr>
      <w:pBdr/>
      <w:spacing w:after="57"/>
      <w:ind w:left="1984"/>
    </w:pPr>
  </w:style>
  <w:style w:type="paragraph" w:styleId="897">
    <w:name w:val="Оглавление 9"/>
    <w:basedOn w:val="726"/>
    <w:next w:val="726"/>
    <w:link w:val="726"/>
    <w:pPr>
      <w:pBdr/>
      <w:spacing w:after="57"/>
      <w:ind w:left="2268"/>
    </w:pPr>
  </w:style>
  <w:style w:type="character" w:styleId="898">
    <w:name w:val="Heading 1 Char"/>
    <w:basedOn w:val="727"/>
    <w:next w:val="898"/>
    <w:link w:val="726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99">
    <w:name w:val="Heading 2 Char"/>
    <w:basedOn w:val="727"/>
    <w:next w:val="899"/>
    <w:link w:val="726"/>
    <w:pPr>
      <w:pBdr/>
      <w:spacing/>
      <w:ind/>
    </w:pPr>
    <w:rPr>
      <w:rFonts w:ascii="Arial" w:hAnsi="Arial" w:eastAsia="Arial"/>
      <w:sz w:val="34"/>
    </w:rPr>
  </w:style>
  <w:style w:type="character" w:styleId="900">
    <w:name w:val="Заголовок 3 Знак"/>
    <w:basedOn w:val="727"/>
    <w:next w:val="900"/>
    <w:link w:val="767"/>
    <w:pPr>
      <w:pBdr/>
      <w:spacing/>
      <w:ind/>
    </w:pPr>
    <w:rPr>
      <w:rFonts w:ascii="Arial" w:hAnsi="Arial" w:eastAsia="Arial"/>
      <w:sz w:val="30"/>
      <w:szCs w:val="30"/>
    </w:rPr>
  </w:style>
  <w:style w:type="character" w:styleId="901">
    <w:name w:val="Heading 4 Char"/>
    <w:basedOn w:val="727"/>
    <w:next w:val="901"/>
    <w:link w:val="726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902">
    <w:name w:val="Заголовок 5 Знак"/>
    <w:basedOn w:val="727"/>
    <w:next w:val="902"/>
    <w:link w:val="769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903">
    <w:name w:val="Заголовок 6 Знак"/>
    <w:basedOn w:val="727"/>
    <w:next w:val="903"/>
    <w:link w:val="770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904">
    <w:name w:val="Заголовок 7 Знак"/>
    <w:basedOn w:val="727"/>
    <w:next w:val="904"/>
    <w:link w:val="771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905">
    <w:name w:val="Заголовок 8 Знак"/>
    <w:basedOn w:val="727"/>
    <w:next w:val="905"/>
    <w:link w:val="772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906">
    <w:name w:val="Заголовок 9 Знак"/>
    <w:basedOn w:val="727"/>
    <w:next w:val="906"/>
    <w:link w:val="773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907">
    <w:name w:val="Название Знак1"/>
    <w:basedOn w:val="727"/>
    <w:next w:val="907"/>
    <w:link w:val="731"/>
    <w:pPr>
      <w:pBdr/>
      <w:spacing/>
      <w:ind/>
    </w:pPr>
    <w:rPr>
      <w:sz w:val="48"/>
      <w:szCs w:val="48"/>
    </w:rPr>
  </w:style>
  <w:style w:type="character" w:styleId="908">
    <w:name w:val="Подзаголовок Знак"/>
    <w:basedOn w:val="727"/>
    <w:next w:val="908"/>
    <w:link w:val="732"/>
    <w:pPr>
      <w:pBdr/>
      <w:spacing/>
      <w:ind/>
    </w:pPr>
    <w:rPr>
      <w:sz w:val="24"/>
      <w:szCs w:val="24"/>
    </w:rPr>
  </w:style>
  <w:style w:type="character" w:styleId="909">
    <w:name w:val="Цитата 2 Знак"/>
    <w:next w:val="909"/>
    <w:link w:val="733"/>
    <w:pPr>
      <w:pBdr/>
      <w:spacing/>
      <w:ind/>
    </w:pPr>
    <w:rPr>
      <w:i/>
    </w:rPr>
  </w:style>
  <w:style w:type="character" w:styleId="910">
    <w:name w:val="Выделенная цитата Знак"/>
    <w:next w:val="910"/>
    <w:link w:val="736"/>
    <w:pPr>
      <w:pBdr/>
      <w:spacing/>
      <w:ind/>
    </w:pPr>
    <w:rPr>
      <w:i/>
    </w:rPr>
  </w:style>
  <w:style w:type="character" w:styleId="911">
    <w:name w:val="Header Char"/>
    <w:basedOn w:val="727"/>
    <w:next w:val="911"/>
    <w:link w:val="941"/>
    <w:pPr>
      <w:pBdr/>
      <w:spacing/>
      <w:ind/>
    </w:pPr>
  </w:style>
  <w:style w:type="character" w:styleId="912">
    <w:name w:val="Footer Char"/>
    <w:basedOn w:val="727"/>
    <w:next w:val="912"/>
    <w:link w:val="943"/>
    <w:pPr>
      <w:pBdr/>
      <w:spacing/>
      <w:ind/>
    </w:pPr>
  </w:style>
  <w:style w:type="table" w:styleId="913">
    <w:name w:val="Lined"/>
    <w:basedOn w:val="728"/>
    <w:next w:val="913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 1"/>
    <w:basedOn w:val="728"/>
    <w:next w:val="914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2"/>
    <w:basedOn w:val="728"/>
    <w:next w:val="915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3"/>
    <w:basedOn w:val="728"/>
    <w:next w:val="916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4"/>
    <w:basedOn w:val="728"/>
    <w:next w:val="917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5"/>
    <w:basedOn w:val="728"/>
    <w:next w:val="918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ned - Accent 6"/>
    <w:basedOn w:val="728"/>
    <w:next w:val="919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"/>
    <w:basedOn w:val="728"/>
    <w:next w:val="920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1"/>
    <w:basedOn w:val="728"/>
    <w:next w:val="921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- Accent 2"/>
    <w:basedOn w:val="728"/>
    <w:next w:val="922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3"/>
    <w:basedOn w:val="728"/>
    <w:next w:val="923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- Accent 4"/>
    <w:basedOn w:val="728"/>
    <w:next w:val="924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- Accent 5"/>
    <w:basedOn w:val="728"/>
    <w:next w:val="925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- Accent 6"/>
    <w:basedOn w:val="728"/>
    <w:next w:val="926"/>
    <w:link w:val="72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"/>
    <w:basedOn w:val="728"/>
    <w:next w:val="927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&amp; Lined - Accent 1"/>
    <w:basedOn w:val="728"/>
    <w:next w:val="928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 2"/>
    <w:basedOn w:val="728"/>
    <w:next w:val="929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3"/>
    <w:basedOn w:val="728"/>
    <w:next w:val="930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4"/>
    <w:basedOn w:val="728"/>
    <w:next w:val="931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5"/>
    <w:basedOn w:val="728"/>
    <w:next w:val="932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6"/>
    <w:basedOn w:val="728"/>
    <w:next w:val="933"/>
    <w:link w:val="726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4">
    <w:name w:val="Текст сноски Знак"/>
    <w:next w:val="934"/>
    <w:link w:val="747"/>
    <w:pPr>
      <w:pBdr/>
      <w:spacing/>
      <w:ind/>
    </w:pPr>
    <w:rPr>
      <w:sz w:val="18"/>
    </w:rPr>
  </w:style>
  <w:style w:type="character" w:styleId="935">
    <w:name w:val="Заголовок 2 Знак"/>
    <w:next w:val="935"/>
    <w:link w:val="766"/>
    <w:pPr>
      <w:pBdr/>
      <w:spacing/>
      <w:ind/>
    </w:pPr>
    <w:rPr>
      <w:b/>
      <w:color w:val="000000"/>
      <w:sz w:val="28"/>
      <w:szCs w:val="28"/>
      <w:lang w:val="ru-RU" w:eastAsia="ru-RU"/>
    </w:rPr>
  </w:style>
  <w:style w:type="numbering" w:styleId="936">
    <w:name w:val="Немає списку1"/>
    <w:next w:val="729"/>
    <w:link w:val="726"/>
    <w:semiHidden/>
    <w:pPr>
      <w:pBdr/>
      <w:spacing/>
      <w:ind/>
    </w:pPr>
  </w:style>
  <w:style w:type="paragraph" w:styleId="937">
    <w:name w:val="tj bmf"/>
    <w:basedOn w:val="726"/>
    <w:next w:val="937"/>
    <w:link w:val="726"/>
    <w:pPr>
      <w:pBdr/>
      <w:spacing w:after="100" w:afterAutospacing="1" w:before="100" w:beforeAutospacing="1"/>
      <w:ind/>
    </w:pPr>
    <w:rPr>
      <w:sz w:val="24"/>
      <w:szCs w:val="24"/>
      <w:lang w:eastAsia="ru-RU"/>
    </w:rPr>
  </w:style>
  <w:style w:type="character" w:styleId="938">
    <w:name w:val="Заголовок 4 Знак"/>
    <w:next w:val="938"/>
    <w:link w:val="768"/>
    <w:pPr>
      <w:pBdr/>
      <w:spacing/>
      <w:ind/>
    </w:pPr>
    <w:rPr>
      <w:rFonts w:ascii="Calibri" w:hAnsi="Calibri" w:eastAsia="Times New Roman"/>
      <w:b/>
      <w:bCs/>
      <w:sz w:val="28"/>
      <w:szCs w:val="28"/>
      <w:lang w:eastAsia="en-US"/>
    </w:rPr>
  </w:style>
  <w:style w:type="character" w:styleId="939">
    <w:name w:val="Название Знак"/>
    <w:next w:val="939"/>
    <w:link w:val="774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character" w:styleId="940">
    <w:name w:val="Заголовок 1 Знак"/>
    <w:next w:val="940"/>
    <w:link w:val="765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paragraph" w:styleId="941">
    <w:name w:val="Header1"/>
    <w:basedOn w:val="726"/>
    <w:next w:val="941"/>
    <w:link w:val="942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42">
    <w:name w:val="Верхний колонтитул Знак"/>
    <w:next w:val="942"/>
    <w:link w:val="941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paragraph" w:styleId="943">
    <w:name w:val="Footer1"/>
    <w:basedOn w:val="726"/>
    <w:next w:val="943"/>
    <w:link w:val="944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44">
    <w:name w:val="Нижний колонтитул Знак"/>
    <w:next w:val="944"/>
    <w:link w:val="943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character" w:styleId="945">
    <w:name w:val="Основной текст (2) + Полужирный"/>
    <w:next w:val="945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46">
    <w:name w:val="Основной текст (2)"/>
    <w:next w:val="946"/>
    <w:link w:val="726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47">
    <w:name w:val="Основной текст (4)_"/>
    <w:next w:val="947"/>
    <w:link w:val="954"/>
    <w:pPr>
      <w:pBdr/>
      <w:spacing/>
      <w:ind/>
    </w:pPr>
    <w:rPr>
      <w:rFonts w:ascii="Candara" w:hAnsi="Candara" w:eastAsia="Candara"/>
      <w:b/>
      <w:bCs/>
      <w:shd w:val="clear" w:color="auto" w:fill="ffffff"/>
    </w:rPr>
  </w:style>
  <w:style w:type="character" w:styleId="948">
    <w:name w:val="Основной текст (3)"/>
    <w:next w:val="948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49">
    <w:name w:val="Основной текст (3) + Не полужирный"/>
    <w:next w:val="949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50">
    <w:name w:val="Основной текст (2) + 12 pt;Полужирный"/>
    <w:next w:val="950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51">
    <w:name w:val="Основной текст (5)"/>
    <w:next w:val="951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52">
    <w:name w:val="Основной текст (2) + Интервал 1 pt"/>
    <w:next w:val="952"/>
    <w:link w:val="726"/>
    <w:pPr>
      <w:pBdr/>
      <w:spacing/>
      <w:ind/>
    </w:pPr>
    <w:rPr>
      <w:rFonts w:ascii="Times New Roman" w:hAnsi="Times New Roman" w:eastAsia="Times New Roman"/>
      <w:color w:val="000000"/>
      <w:spacing w:val="30"/>
      <w:position w:val="0"/>
      <w:sz w:val="22"/>
      <w:szCs w:val="22"/>
      <w:u w:val="none"/>
      <w:lang w:val="uk-UA" w:eastAsia="uk-UA" w:bidi="uk-UA"/>
    </w:rPr>
  </w:style>
  <w:style w:type="character" w:styleId="953">
    <w:name w:val="Заголовок №2 + 12 pt;Полужирный"/>
    <w:next w:val="953"/>
    <w:link w:val="726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954">
    <w:name w:val="Основной текст (4)"/>
    <w:basedOn w:val="726"/>
    <w:next w:val="954"/>
    <w:link w:val="947"/>
    <w:pPr>
      <w:widowControl w:val="false"/>
      <w:pBdr/>
      <w:shd w:val="clear" w:color="auto" w:fill="ffffff"/>
      <w:spacing w:after="240" w:before="240" w:line="0" w:lineRule="atLeast"/>
      <w:ind/>
      <w:jc w:val="both"/>
    </w:pPr>
    <w:rPr>
      <w:rFonts w:ascii="Candara" w:hAnsi="Candara" w:eastAsia="Candara"/>
      <w:b/>
      <w:bCs/>
      <w:lang w:val="en-US" w:eastAsia="en-US"/>
    </w:rPr>
  </w:style>
  <w:style w:type="paragraph" w:styleId="955">
    <w:name w:val="Текст выноски"/>
    <w:basedOn w:val="726"/>
    <w:next w:val="955"/>
    <w:link w:val="956"/>
    <w:pPr>
      <w:pBdr/>
      <w:spacing/>
      <w:ind/>
    </w:pPr>
    <w:rPr>
      <w:rFonts w:ascii="Segoe UI" w:hAnsi="Segoe UI" w:eastAsia="Calibri"/>
      <w:sz w:val="18"/>
      <w:szCs w:val="18"/>
      <w:lang w:val="en-US" w:eastAsia="en-US"/>
    </w:rPr>
  </w:style>
  <w:style w:type="character" w:styleId="956">
    <w:name w:val="Текст выноски Знак"/>
    <w:next w:val="956"/>
    <w:link w:val="955"/>
    <w:pPr>
      <w:pBdr/>
      <w:spacing/>
      <w:ind/>
    </w:pPr>
    <w:rPr>
      <w:rFonts w:ascii="Segoe UI" w:hAnsi="Segoe UI" w:eastAsia="Calibri"/>
      <w:sz w:val="18"/>
      <w:szCs w:val="18"/>
      <w:lang w:eastAsia="en-US"/>
    </w:rPr>
  </w:style>
  <w:style w:type="paragraph" w:styleId="957">
    <w:name w:val="Обычный1"/>
    <w:next w:val="957"/>
    <w:link w:val="726"/>
    <w:pPr>
      <w:pBdr/>
      <w:spacing/>
      <w:ind/>
    </w:pPr>
    <w:rPr>
      <w:lang w:val="ru-RU" w:eastAsia="zh-CN" w:bidi="ar-SA"/>
    </w:rPr>
  </w:style>
  <w:style w:type="character" w:styleId="958">
    <w:name w:val="Верхний колонтитул Знак1"/>
    <w:basedOn w:val="727"/>
    <w:next w:val="958"/>
    <w:link w:val="941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  <w:style w:type="character" w:styleId="959">
    <w:name w:val="Нижний колонтитул Знак1"/>
    <w:basedOn w:val="727"/>
    <w:next w:val="959"/>
    <w:link w:val="943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  <w:style w:type="paragraph" w:styleId="960">
    <w:name w:val="Основной текст"/>
    <w:basedOn w:val="726"/>
    <w:next w:val="960"/>
    <w:link w:val="961"/>
    <w:pPr>
      <w:pBdr/>
      <w:spacing w:after="120"/>
      <w:ind/>
    </w:pPr>
  </w:style>
  <w:style w:type="character" w:styleId="961">
    <w:name w:val="Основной текст Знак"/>
    <w:basedOn w:val="727"/>
    <w:next w:val="961"/>
    <w:link w:val="960"/>
    <w:pPr>
      <w:pBdr/>
      <w:spacing/>
      <w:ind/>
    </w:pPr>
    <w:rPr>
      <w:lang w:eastAsia="zh-CN"/>
    </w:rPr>
  </w:style>
  <w:style w:type="character" w:styleId="962">
    <w:name w:val="docdata;docy;v5;3699;baiaagaaboqcaaadrqqaaav6daaaaaaaaaaaaaaaaaaaaaaaaaaaaaaaaaaaaaaaaaaaaaaaaaaaaaaaaaaaaaaaaaaaaaaaaaaaaaaaaaaaaaaaaaaaaaaaaaaaaaaaaaaaaaaaaaaaaaaaaaaaaaaaaaaaaaaaaaaaaaaaaaaaaaaaaaaaaaaaaaaaaaaaaaaaaaaaaaaaaaaaaaaaaaaaaaaaaaaaaaaaaaaa"/>
    <w:basedOn w:val="727"/>
    <w:next w:val="962"/>
    <w:link w:val="72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3</cp:revision>
  <dcterms:created xsi:type="dcterms:W3CDTF">2026-04-14T08:19:00Z</dcterms:created>
  <dcterms:modified xsi:type="dcterms:W3CDTF">2026-04-17T12:05:07Z</dcterms:modified>
  <cp:version>786432</cp:version>
</cp:coreProperties>
</file>