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1"/>
        <w:pBdr/>
        <w:spacing w:after="0" w:afterAutospacing="0" w:line="240" w:lineRule="auto"/>
        <w:ind w:right="0" w:firstLine="5562" w:left="107"/>
        <w:rPr>
          <w:sz w:val="28"/>
          <w:szCs w:val="28"/>
        </w:rPr>
      </w:pPr>
      <w:r>
        <w:rPr>
          <w:sz w:val="28"/>
          <w:szCs w:val="28"/>
        </w:rPr>
        <w:t xml:space="preserve">Додаток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line="240" w:lineRule="auto"/>
        <w:ind w:right="0" w:firstLine="5562" w:left="107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 xml:space="preserve">72 сесії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line="240" w:lineRule="auto"/>
        <w:ind w:right="0" w:firstLine="5562" w:left="107"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line="240" w:lineRule="auto"/>
        <w:ind w:right="0" w:firstLine="5562" w:left="107"/>
        <w:rPr>
          <w:sz w:val="28"/>
          <w:szCs w:val="28"/>
        </w:rPr>
      </w:pPr>
      <w:r>
        <w:rPr>
          <w:sz w:val="28"/>
          <w:szCs w:val="28"/>
        </w:rPr>
        <w:t xml:space="preserve">8 скликання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line="240" w:lineRule="auto"/>
        <w:ind w:right="0" w:firstLine="5562" w:left="107"/>
        <w:rPr>
          <w:sz w:val="28"/>
          <w:szCs w:val="28"/>
        </w:rPr>
      </w:pPr>
      <w:r>
        <w:rPr>
          <w:sz w:val="28"/>
          <w:szCs w:val="28"/>
        </w:rPr>
        <w:t xml:space="preserve">17 квітня  2026 року</w:t>
      </w:r>
      <w:r>
        <w:rPr>
          <w:sz w:val="28"/>
          <w:szCs w:val="28"/>
        </w:rPr>
        <w:t xml:space="preserve"> №204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firstLine="255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Перелік майна, що приймається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у комунальну власність Менської міської територіальної громади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 w:bidi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uk-UA"/>
        </w:rPr>
      </w:r>
    </w:p>
    <w:tbl>
      <w:tblPr>
        <w:tblInd w:w="-436" w:type="dxa"/>
        <w:tblW w:w="10190" w:type="dxa"/>
        <w:tblBorders/>
        <w:tblLayout w:type="fixed"/>
        <w:tblLook w:val="04A0" w:firstRow="1" w:lastRow="0" w:firstColumn="1" w:lastColumn="0" w:noHBand="0" w:noVBand="1"/>
      </w:tblPr>
      <w:tblGrid>
        <w:gridCol w:w="578"/>
        <w:gridCol w:w="4330"/>
        <w:gridCol w:w="683"/>
        <w:gridCol w:w="822"/>
        <w:gridCol w:w="1100"/>
        <w:gridCol w:w="1294"/>
        <w:gridCol w:w="1384"/>
      </w:tblGrid>
      <w:tr>
        <w:trPr>
          <w:trHeight w:val="322"/>
          <w:tblHeader/>
        </w:trPr>
        <w:tc>
          <w:tcPr>
            <w:shd w:val="clear" w:color="000000" w:fill="ebebeb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ebebeb"/>
            <w:tcBorders>
              <w:top w:val="single" w:color="000000" w:sz="8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Товари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роботи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послуги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ebebeb"/>
            <w:tcBorders>
              <w:top w:val="single" w:color="000000" w:sz="8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Кіл-сть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ebebeb"/>
            <w:tcBorders>
              <w:top w:val="single" w:color="000000" w:sz="8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vAlign w:val="center"/>
            <w:vMerge w:val="restart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Од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ebebeb"/>
            <w:tcBorders>
              <w:top w:val="single" w:color="000000" w:sz="8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Ціна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ПДВ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ebebeb"/>
            <w:tcBorders>
              <w:top w:val="single" w:color="000000" w:sz="8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Сума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без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ПДВ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000000" w:fill="ebebeb"/>
            <w:tcBorders>
              <w:top w:val="single" w:color="000000" w:sz="8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Сума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ПДВ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PV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Tongwei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Solar TWMNH-66HD620 620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Wp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N-type Bifacial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4204,72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344787,28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413744,74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комплект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монтажу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ФЕМ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2312,60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189632,93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227559,52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інвертор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гібридний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Deye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SUN-50K-SG01HP3-EU-BM4 (50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кВт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, 3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фази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, 4 МРРТ, HV)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231259,71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231259,71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277511,65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акумуляторна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батарея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модульна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підігрівом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Dyness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Stack100 S51100 5.12KWH 51.2V 100AH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складова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комп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42047,25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504567,00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605480,40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BMS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модуль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з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підігрівом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BDU +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база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для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Dyness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Stack100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складова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комплекту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37842,53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37842,53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45411,04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сонячний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кабель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KBE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DB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чорний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6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mm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2, 500 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Німеччина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компл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23126,07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46252,14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55502,57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ВВГ-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Пнг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кабель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вітч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3*  2,5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840,95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12614,17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15137,00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ПВС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кабель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вітч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2* 1,5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84,10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3363,95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4036,74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щит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захисту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змінного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струму АС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21023,79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21023,79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25228,55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захисна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автоматика по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постійному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струму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21023,79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23023,79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25228,55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захисна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автоматика для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акумуляторів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25кВт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4204,55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4204,55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5045,46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гофра-труба ПВТ д.25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чорна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(50м)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15,137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756,85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908,22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лоток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перфорований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100х100,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цинкування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 метод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Сендзіміра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3000 мм,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Standard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UEA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218,98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1313,89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1576,67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трубка ПВХ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гофр.протяж.ДКС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(50м)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25/18,3 320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91925А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чорна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15,6416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1564,16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1876,99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кришка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лоток основа 100,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цинкування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метод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Сендзіміра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3000 мм,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товщ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0,5мм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UEA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81,57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489,43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bidi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587,32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bidi="en-US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кришка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на кут горизонтальна 90°, основа 150,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цинкування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метод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Сендзіміра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товщ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0,8мм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98,39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590,34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708,41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кут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горизонтальний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90°, 150х50,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цинкування,метод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Сендзіміра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0,8мм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146,07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876,43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1051,72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фіксатор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кришки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Н50мм,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цинкування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метод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Сендзіміра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товщ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1,5мм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11,185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67,11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80,53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кабельний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ввід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TAKEL PG-І 36 502694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39,23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784,60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941,52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non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колодка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клемна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д/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гол.ліній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перед.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Pawbol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E.4101 1*35/16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159,44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159,44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191,33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коробка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розп.IP65 TAKEL 200*100*70 503008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132,20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132,20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158,64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none" w:color="000000" w:sz="4" w:space="0"/>
            </w:tcBorders>
            <w:tcW w:w="578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433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запобіжник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1000V DC ETI CH10*38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gPV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  16А 30kA 2625081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683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96,96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W w:w="129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581,77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W w:w="1384" w:type="dxa"/>
            <w:textDirection w:val="lrTb"/>
            <w:noWrap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bidi="en-US"/>
              </w:rPr>
              <w:t xml:space="preserve">698,12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p>
      <w:pPr>
        <w:pStyle w:val="935"/>
        <w:widowControl w:val="false"/>
        <w:pBdr/>
        <w:spacing w:after="0" w:afterAutospacing="0" w:before="0" w:beforeAutospacing="0" w:line="240" w:lineRule="auto"/>
        <w:ind w:right="-216"/>
        <w:rPr/>
      </w:pPr>
      <w:r>
        <w:rPr>
          <w:color w:val="000000"/>
          <w:sz w:val="28"/>
          <w:szCs w:val="28"/>
        </w:rPr>
        <w:t xml:space="preserve">Начальник відділу житлово-комунального</w:t>
      </w:r>
      <w:r/>
    </w:p>
    <w:p>
      <w:pPr>
        <w:pStyle w:val="936"/>
        <w:widowControl w:val="false"/>
        <w:pBdr/>
        <w:spacing w:after="0" w:afterAutospacing="0" w:before="0" w:beforeAutospacing="0" w:line="240" w:lineRule="auto"/>
        <w:ind w:right="-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господарства та комунального майна                              Ірина ЄКИМЕНКО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 w:after="0" w:afterAutospacing="0" w:line="240" w:lineRule="auto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 w:after="0" w:afterAutospacing="0" w:line="240" w:lineRule="auto"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993" w:right="850" w:bottom="0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 xml:space="preserve">2                                                продовження додатка</w:t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8C3130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70397B5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71D9746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>
    <w:name w:val="Table Grid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9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9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>
    <w:name w:val="Heading 2"/>
    <w:basedOn w:val="922"/>
    <w:next w:val="92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6">
    <w:name w:val="Heading 3"/>
    <w:basedOn w:val="922"/>
    <w:next w:val="922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5"/>
    <w:basedOn w:val="922"/>
    <w:next w:val="922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922"/>
    <w:next w:val="92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922"/>
    <w:next w:val="922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922"/>
    <w:next w:val="922"/>
    <w:link w:val="87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922"/>
    <w:next w:val="922"/>
    <w:link w:val="88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1 Char"/>
    <w:basedOn w:val="925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3">
    <w:name w:val="Heading 2 Char"/>
    <w:basedOn w:val="925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4">
    <w:name w:val="Heading 3 Char"/>
    <w:basedOn w:val="925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5">
    <w:name w:val="Heading 4 Char"/>
    <w:basedOn w:val="925"/>
    <w:link w:val="9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6">
    <w:name w:val="Heading 5 Char"/>
    <w:basedOn w:val="925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7">
    <w:name w:val="Heading 6 Char"/>
    <w:basedOn w:val="925"/>
    <w:link w:val="8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>
    <w:name w:val="Heading 7 Char"/>
    <w:basedOn w:val="925"/>
    <w:link w:val="8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>
    <w:name w:val="Heading 8 Char"/>
    <w:basedOn w:val="925"/>
    <w:link w:val="8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9 Char"/>
    <w:basedOn w:val="925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1">
    <w:name w:val="Title"/>
    <w:basedOn w:val="922"/>
    <w:next w:val="922"/>
    <w:link w:val="88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2">
    <w:name w:val="Title Char"/>
    <w:basedOn w:val="925"/>
    <w:link w:val="8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3">
    <w:name w:val="Subtitle"/>
    <w:basedOn w:val="922"/>
    <w:next w:val="922"/>
    <w:link w:val="8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4">
    <w:name w:val="Subtitle Char"/>
    <w:basedOn w:val="925"/>
    <w:link w:val="8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5">
    <w:name w:val="Quote"/>
    <w:basedOn w:val="922"/>
    <w:next w:val="922"/>
    <w:link w:val="8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6">
    <w:name w:val="Quote Char"/>
    <w:basedOn w:val="925"/>
    <w:link w:val="8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Intense Emphasis"/>
    <w:basedOn w:val="9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8">
    <w:name w:val="Intense Quote"/>
    <w:basedOn w:val="922"/>
    <w:next w:val="922"/>
    <w:link w:val="8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9">
    <w:name w:val="Intense Quote Char"/>
    <w:basedOn w:val="925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9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1">
    <w:name w:val="No Spacing"/>
    <w:basedOn w:val="922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9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925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925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9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92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922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Header Char"/>
    <w:basedOn w:val="925"/>
    <w:link w:val="897"/>
    <w:uiPriority w:val="99"/>
    <w:pPr>
      <w:pBdr/>
      <w:spacing/>
      <w:ind/>
    </w:pPr>
  </w:style>
  <w:style w:type="paragraph" w:styleId="899">
    <w:name w:val="Footer"/>
    <w:basedOn w:val="922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Footer Char"/>
    <w:basedOn w:val="925"/>
    <w:link w:val="899"/>
    <w:uiPriority w:val="99"/>
    <w:pPr>
      <w:pBdr/>
      <w:spacing/>
      <w:ind/>
    </w:pPr>
  </w:style>
  <w:style w:type="paragraph" w:styleId="901">
    <w:name w:val="Caption"/>
    <w:basedOn w:val="922"/>
    <w:next w:val="9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2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925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925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2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925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925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9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9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1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2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3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4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5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6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7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8">
    <w:name w:val="toc 9"/>
    <w:basedOn w:val="922"/>
    <w:next w:val="922"/>
    <w:uiPriority w:val="39"/>
    <w:unhideWhenUsed/>
    <w:pPr>
      <w:pBdr/>
      <w:spacing w:after="100"/>
      <w:ind w:left="1760"/>
    </w:pPr>
  </w:style>
  <w:style w:type="character" w:styleId="919">
    <w:name w:val="Placeholder Text"/>
    <w:basedOn w:val="925"/>
    <w:uiPriority w:val="99"/>
    <w:semiHidden/>
    <w:pPr>
      <w:pBdr/>
      <w:spacing/>
      <w:ind/>
    </w:pPr>
    <w:rPr>
      <w:color w:val="666666"/>
    </w:r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qFormat/>
    <w:pPr>
      <w:pBdr/>
      <w:spacing/>
      <w:ind/>
    </w:pPr>
  </w:style>
  <w:style w:type="paragraph" w:styleId="923">
    <w:name w:val="Heading 1"/>
    <w:basedOn w:val="922"/>
    <w:next w:val="922"/>
    <w:link w:val="934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4">
    <w:name w:val="Heading 4"/>
    <w:basedOn w:val="922"/>
    <w:link w:val="933"/>
    <w:uiPriority w:val="9"/>
    <w:qFormat/>
    <w:pPr>
      <w:pBdr/>
      <w:spacing w:after="100" w:afterAutospacing="1" w:before="100" w:beforeAutospacing="1" w:line="240" w:lineRule="auto"/>
      <w:ind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25" w:default="1">
    <w:name w:val="Default Paragraph Font"/>
    <w:uiPriority w:val="1"/>
    <w:semiHidden/>
    <w:unhideWhenUsed/>
    <w:pPr>
      <w:pBdr/>
      <w:spacing/>
      <w:ind/>
    </w:pPr>
  </w:style>
  <w:style w:type="table" w:styleId="9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7" w:default="1">
    <w:name w:val="No List"/>
    <w:uiPriority w:val="99"/>
    <w:semiHidden/>
    <w:unhideWhenUsed/>
    <w:pPr>
      <w:pBdr/>
      <w:spacing/>
      <w:ind/>
    </w:pPr>
  </w:style>
  <w:style w:type="paragraph" w:styleId="928">
    <w:name w:val="List Paragraph"/>
    <w:basedOn w:val="922"/>
    <w:uiPriority w:val="34"/>
    <w:qFormat/>
    <w:pPr>
      <w:pBdr/>
      <w:spacing/>
      <w:ind w:left="720"/>
      <w:contextualSpacing w:val="true"/>
    </w:pPr>
  </w:style>
  <w:style w:type="paragraph" w:styleId="929">
    <w:name w:val="Balloon Text"/>
    <w:basedOn w:val="922"/>
    <w:link w:val="9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0" w:customStyle="1">
    <w:name w:val="Текст у виносці Знак"/>
    <w:basedOn w:val="925"/>
    <w:link w:val="9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1" w:customStyle="1">
    <w:name w:val="Table Paragraph"/>
    <w:basedOn w:val="922"/>
    <w:uiPriority w:val="1"/>
    <w:qFormat/>
    <w:pPr>
      <w:widowControl w:val="false"/>
      <w:pBdr/>
      <w:spacing w:after="0" w:line="240" w:lineRule="auto"/>
      <w:ind w:left="107"/>
    </w:pPr>
    <w:rPr>
      <w:rFonts w:ascii="Times New Roman" w:hAnsi="Times New Roman" w:eastAsia="Times New Roman" w:cs="Times New Roman"/>
      <w:lang w:val="uk-UA"/>
    </w:rPr>
  </w:style>
  <w:style w:type="table" w:styleId="932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 w:customStyle="1">
    <w:name w:val="Заголовок 4 Знак"/>
    <w:basedOn w:val="925"/>
    <w:link w:val="92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934" w:customStyle="1">
    <w:name w:val="Заголовок 1 Знак"/>
    <w:basedOn w:val="925"/>
    <w:link w:val="923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35" w:customStyle="1">
    <w:name w:val="docdata"/>
    <w:basedOn w:val="922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936">
    <w:name w:val="Normal (Web)"/>
    <w:basedOn w:val="922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</dc:creator>
  <cp:keywords/>
  <dc:description/>
  <cp:lastModifiedBy>Четвертакова Наталія Вікторівна</cp:lastModifiedBy>
  <cp:revision>12</cp:revision>
  <dcterms:created xsi:type="dcterms:W3CDTF">2026-04-14T08:30:00Z</dcterms:created>
  <dcterms:modified xsi:type="dcterms:W3CDTF">2026-04-21T06:29:14Z</dcterms:modified>
</cp:coreProperties>
</file>