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до рішення 71 сесії Менської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8 скликання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20 </w:t>
      </w:r>
      <w:r>
        <w:rPr>
          <w:rFonts w:ascii="Times New Roman" w:hAnsi="Times New Roman" w:cs="Times New Roman"/>
          <w:sz w:val="28"/>
          <w:szCs w:val="28"/>
        </w:rPr>
        <w:t xml:space="preserve">березня 2026 року №138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1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  <w:tab w:val="left" w:leader="none" w:pos="7370"/>
        </w:tabs>
        <w:spacing/>
        <w:ind/>
        <w:jc w:val="both"/>
        <w:rPr>
          <w:rFonts w:ascii="Times New Roman" w:hAnsi="Times New Roman" w:eastAsia="Droid Sans"/>
          <w:b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Звіт </w:t>
      </w:r>
      <w:r>
        <w:rPr>
          <w:rFonts w:ascii="Times New Roman" w:hAnsi="Times New Roman"/>
          <w:sz w:val="28"/>
          <w:shd w:val="clear" w:color="auto" w:fill="ffffff"/>
        </w:rPr>
        <w:t xml:space="preserve">про</w:t>
      </w:r>
      <w:r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виконання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Програми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«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Управління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майном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комунальної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власності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Менської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міської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територіальної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громади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на 2025-2027 роки»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, за 2025 рік</w:t>
      </w:r>
      <w:r>
        <w:rPr>
          <w:rFonts w:ascii="Times New Roman" w:hAnsi="Times New Roman" w:eastAsia="Droid Sans"/>
          <w:b/>
          <w:sz w:val="28"/>
          <w:szCs w:val="28"/>
          <w:lang w:val="uk-UA" w:eastAsia="hi-IN" w:bidi="hi-IN"/>
        </w:rPr>
      </w:r>
      <w:r>
        <w:rPr>
          <w:rFonts w:ascii="Times New Roman" w:hAnsi="Times New Roman" w:eastAsia="Droid Sans"/>
          <w:b/>
          <w:sz w:val="28"/>
          <w:szCs w:val="28"/>
          <w:lang w:val="uk-UA" w:eastAsia="hi-IN" w:bidi="hi-IN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708"/>
        <w:jc w:val="both"/>
        <w:rPr>
          <w:rFonts w:ascii="Times New Roman" w:hAnsi="Times New Roman" w:eastAsia="Droid Sans"/>
          <w:sz w:val="28"/>
          <w:szCs w:val="28"/>
          <w:lang w:val="en-US"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раціонального та ефективного управління майном комунальної власності Менської міської територіальної громади для забезпечення стабільного наповнення дохідної частини бюджету громади та для задоволення потреб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, Менська міська рада протягом звітного </w:t>
      </w:r>
      <w:r>
        <w:rPr>
          <w:rFonts w:ascii="Times New Roman" w:hAnsi="Times New Roman"/>
          <w:sz w:val="28"/>
          <w:szCs w:val="28"/>
          <w:lang w:val="uk-UA"/>
        </w:rPr>
        <w:t xml:space="preserve">періоду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здійснювала виконання основних завдань, визначених 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Програмою</w:t>
      </w:r>
      <w:r>
        <w:rPr>
          <w:rFonts w:ascii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у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правління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майном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комунальної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власності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Менської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міської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ради,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затвердженої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рішенням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56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сесії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Менської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міської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ради 8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скликання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від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19 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грудня</w:t>
      </w:r>
      <w:r>
        <w:rPr>
          <w:rFonts w:ascii="Times New Roman" w:hAnsi="Times New Roman" w:eastAsia="Droid Sans"/>
          <w:sz w:val="28"/>
          <w:szCs w:val="28"/>
          <w:lang w:eastAsia="hi-IN" w:bidi="hi-IN"/>
        </w:rPr>
        <w:t xml:space="preserve"> 2024 року №729.</w:t>
      </w:r>
      <w:r>
        <w:rPr>
          <w:rFonts w:ascii="Times New Roman" w:hAnsi="Times New Roman" w:eastAsia="Droid Sans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val="en-US" w:eastAsia="hi-IN" w:bidi="hi-IN"/>
        </w:rPr>
      </w:r>
      <w:r>
        <w:rPr>
          <w:rFonts w:ascii="Times New Roman" w:hAnsi="Times New Roman" w:eastAsia="Droid Sans"/>
          <w:sz w:val="28"/>
          <w:szCs w:val="28"/>
          <w:lang w:val="en-US" w:eastAsia="hi-IN" w:bidi="hi-IN"/>
        </w:rPr>
      </w:r>
    </w:p>
    <w:p>
      <w:pPr>
        <w:pBdr/>
        <w:spacing/>
        <w:ind w:firstLine="708"/>
        <w:jc w:val="both"/>
        <w:rPr>
          <w:rFonts w:ascii="Times New Roman" w:hAnsi="Times New Roman" w:eastAsia="Droid Sans"/>
          <w:sz w:val="28"/>
          <w:szCs w:val="28"/>
          <w:lang w:val="uk-UA" w:eastAsia="hi-IN" w:bidi="hi-IN"/>
        </w:rPr>
      </w:pP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Основними напрямками Програми є: утримання в належному стані майна комунальної власності територіальної громади, ведення реєстру майна, забезпечення виготовлення технічної та правовстановлюючої документації, передача майна в оренду,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суб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оренду, відчуження майна, продаж, обмін, передача до державної та іншої комунальної власності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.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П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риймання майна, 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а саме набуття права власності шляхом приймання в комунальну власність майна з інших форм власності, придбання, набуття права власності на безхазяйне майно,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проведення робіт із землеустрою та 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  <w:t xml:space="preserve">експертної грошової оцінки земельних ділянок, які продаються разом з об’єктами відчуження.</w:t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</w:r>
      <w:r>
        <w:rPr>
          <w:rFonts w:ascii="Times New Roman" w:hAnsi="Times New Roman" w:eastAsia="Droid Sans"/>
          <w:sz w:val="28"/>
          <w:szCs w:val="28"/>
          <w:lang w:val="uk-UA" w:eastAsia="hi-IN" w:bidi="hi-IN"/>
        </w:rPr>
      </w:r>
    </w:p>
    <w:p>
      <w:pPr>
        <w:pBdr/>
        <w:shd w:val="clear" w:color="auto" w:fill="ffffff"/>
        <w:spacing w:after="150"/>
        <w:ind w:firstLine="360"/>
        <w:jc w:val="both"/>
        <w:rPr>
          <w:rFonts w:ascii="Times New Roman" w:hAnsi="Times New Roman" w:eastAsia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Фінансу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вання Програми здійснювалося за рахунок коштів бюджету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Менської міської територіальної громади на наступні заходи: д</w:t>
      </w:r>
      <w:r>
        <w:rPr>
          <w:rFonts w:ascii="Times New Roman" w:hAnsi="Times New Roman"/>
          <w:sz w:val="28"/>
          <w:szCs w:val="28"/>
          <w:lang w:val="uk-UA"/>
        </w:rPr>
        <w:t xml:space="preserve">овідка Чернігівського обласного бюро технічної інвентаризації, виготовлення технічного паспорту на об’єкти комунальної власності, реєстрація права власності на нерухоме майно у сумі: 69,950 тис. </w:t>
      </w:r>
      <w:r>
        <w:rPr>
          <w:rFonts w:ascii="Times New Roman" w:hAnsi="Times New Roman"/>
          <w:sz w:val="28"/>
          <w:szCs w:val="28"/>
          <w:lang w:val="uk-UA"/>
        </w:rPr>
        <w:t xml:space="preserve">грн.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відділу</w:t>
      </w:r>
      <w:r>
        <w:rPr>
          <w:rFonts w:ascii="Times New Roman" w:hAnsi="Times New Roman"/>
          <w:sz w:val="28"/>
          <w:szCs w:val="28"/>
        </w:rPr>
        <w:t xml:space="preserve"> ЖКГ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комунального</w:t>
      </w:r>
      <w:r>
        <w:rPr>
          <w:rFonts w:ascii="Times New Roman" w:hAnsi="Times New Roman"/>
          <w:sz w:val="28"/>
          <w:szCs w:val="28"/>
        </w:rPr>
        <w:t xml:space="preserve"> майна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</w:t>
      </w:r>
      <w:r>
        <w:rPr>
          <w:rFonts w:ascii="Times New Roman" w:hAnsi="Times New Roman"/>
          <w:sz w:val="28"/>
          <w:szCs w:val="28"/>
        </w:rPr>
        <w:t xml:space="preserve"> ЄКИМЕНКО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5020000000000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22B2A"/>
    <w:lvl w:ilvl="0">
      <w:isLgl w:val="false"/>
      <w:lvlJc w:val="left"/>
      <w:lvlText w:val="-"/>
      <w:numFmt w:val="bullet"/>
      <w:pPr>
        <w:pBdr/>
        <w:spacing/>
        <w:ind w:hanging="360" w:left="1068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7"/>
    <w:next w:val="887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7"/>
    <w:next w:val="887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7"/>
    <w:next w:val="887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7"/>
    <w:next w:val="887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7"/>
    <w:next w:val="887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8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8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8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8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7"/>
    <w:next w:val="887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88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7"/>
    <w:next w:val="887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88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7"/>
    <w:next w:val="887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88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8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val="ru-RU" w:eastAsia="zh-CN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No Spacing"/>
    <w:uiPriority w:val="1"/>
    <w:qFormat/>
    <w:pPr>
      <w:pBdr/>
      <w:spacing w:after="0" w:line="240" w:lineRule="auto"/>
      <w:ind/>
    </w:pPr>
  </w:style>
  <w:style w:type="paragraph" w:styleId="892">
    <w:name w:val="List Paragraph"/>
    <w:basedOn w:val="8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Т.І.</dc:creator>
  <cp:keywords/>
  <dc:description/>
  <cp:lastModifiedBy>Єкименко Ірина Валеріївна</cp:lastModifiedBy>
  <cp:revision>9</cp:revision>
  <dcterms:created xsi:type="dcterms:W3CDTF">2026-03-12T08:49:00Z</dcterms:created>
  <dcterms:modified xsi:type="dcterms:W3CDTF">2026-03-20T14:02:59Z</dcterms:modified>
</cp:coreProperties>
</file>