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6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pStyle w:val="936"/>
        <w:pBdr/>
        <w:spacing/>
        <w:ind/>
        <w:jc w:val="center"/>
        <w:rPr>
          <w:rFonts w:ascii="Times New Roman" w:hAnsi="Times New Roman" w:eastAsia="Times New Roman"/>
          <w:color w:val="000000"/>
          <w:sz w:val="16"/>
          <w:szCs w:val="16"/>
        </w:rPr>
      </w:pP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  <w:r>
        <w:rPr>
          <w:rFonts w:ascii="Times New Roman" w:hAnsi="Times New Roman" w:eastAsia="Times New Roman"/>
          <w:color w:val="000000"/>
          <w:sz w:val="16"/>
          <w:szCs w:val="16"/>
        </w:rPr>
      </w:r>
    </w:p>
    <w:p>
      <w:pPr>
        <w:pStyle w:val="936"/>
        <w:pBdr/>
        <w:spacing/>
        <w:ind/>
        <w:jc w:val="center"/>
        <w:rPr>
          <w:rFonts w:ascii="Times New Roman" w:hAnsi="Times New Roman" w:eastAsia="Times New Roman"/>
          <w:color w:val="000000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(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сімдесят перша</w:t>
      </w:r>
      <w:r>
        <w:rPr>
          <w:rFonts w:ascii="Times New Roman" w:hAnsi="Times New Roman" w:eastAsia="Times New Roman"/>
          <w:b/>
          <w:color w:val="000000" w:themeColor="text1"/>
          <w:sz w:val="28"/>
        </w:rPr>
        <w:t xml:space="preserve"> сесія восьмого скликання) </w:t>
      </w:r>
      <w:bookmarkEnd w:id="0"/>
      <w:r>
        <w:rPr>
          <w:rFonts w:ascii="Times New Roman" w:hAnsi="Times New Roman" w:eastAsia="Times New Roman"/>
          <w:color w:val="000000"/>
        </w:rPr>
      </w:r>
      <w:r>
        <w:rPr>
          <w:rFonts w:ascii="Times New Roman" w:hAnsi="Times New Roman" w:eastAsia="Times New Roman"/>
          <w:color w:val="000000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Times New Roman"/>
          <w:color w:val="000000"/>
          <w:lang w:val="uk-UA"/>
        </w:rPr>
      </w:pPr>
      <w:r>
        <w:rPr>
          <w:rFonts w:ascii="Times New Roman" w:hAnsi="Times New Roman" w:eastAsia="Times New Roman"/>
          <w:b/>
          <w:color w:val="000000" w:themeColor="text1"/>
          <w:sz w:val="28"/>
          <w:szCs w:val="28"/>
          <w:lang w:val="uk-UA" w:eastAsia="hi-IN" w:bidi="hi-IN"/>
        </w:rPr>
        <w:t xml:space="preserve"> РІШЕННЯ</w:t>
      </w:r>
      <w:r>
        <w:rPr>
          <w:rFonts w:ascii="Times New Roman" w:hAnsi="Times New Roman" w:eastAsia="Times New Roman"/>
          <w:color w:val="000000"/>
          <w:lang w:val="uk-UA"/>
        </w:rPr>
      </w:r>
      <w:r>
        <w:rPr>
          <w:rFonts w:ascii="Times New Roman" w:hAnsi="Times New Roman" w:eastAsia="Times New Roman"/>
          <w:color w:val="000000"/>
          <w:lang w:val="uk-UA"/>
        </w:rPr>
      </w:r>
    </w:p>
    <w:p>
      <w:pPr>
        <w:pBdr/>
        <w:tabs>
          <w:tab w:val="left" w:leader="none" w:pos="709"/>
          <w:tab w:val="left" w:leader="none" w:pos="7088"/>
        </w:tabs>
        <w:spacing/>
        <w:ind/>
        <w:jc w:val="both"/>
        <w:rPr>
          <w:rFonts w:ascii="Times New Roman" w:hAnsi="Times New Roman" w:eastAsia="Times New Roman"/>
          <w:color w:val="000000"/>
          <w:sz w:val="16"/>
          <w:szCs w:val="16"/>
          <w:lang w:val="uk-UA"/>
        </w:rPr>
      </w:pP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  <w:r>
        <w:rPr>
          <w:rFonts w:ascii="Times New Roman" w:hAnsi="Times New Roman" w:eastAsia="Times New Roman"/>
          <w:color w:val="000000"/>
          <w:sz w:val="16"/>
          <w:szCs w:val="16"/>
          <w:lang w:val="uk-UA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/>
        <w:ind/>
        <w:rPr>
          <w:rFonts w:ascii="Times New Roman" w:hAnsi="Times New Roman" w:eastAsia="Times New Roman"/>
          <w:color w:val="000000"/>
          <w:sz w:val="28"/>
          <w:lang w:val="uk-U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20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березня 2026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 року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ab/>
        <w:t xml:space="preserve">м.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 xml:space="preserve">Мена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uk-UA" w:eastAsia="hi-IN" w:bidi="hi-IN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  <w:lang w:val="uk-UA"/>
        </w:rPr>
      </w:r>
      <w:r>
        <w:rPr>
          <w:rFonts w:ascii="Times New Roman" w:hAnsi="Times New Roman" w:eastAsia="Times New Roman"/>
          <w:color w:val="000000"/>
          <w:sz w:val="28"/>
          <w:lang w:val="uk-UA"/>
        </w:rPr>
        <w:t xml:space="preserve">167</w:t>
      </w:r>
      <w:r>
        <w:rPr>
          <w:rFonts w:ascii="Times New Roman" w:hAnsi="Times New Roman" w:eastAsia="Times New Roman"/>
          <w:color w:val="000000"/>
          <w:sz w:val="28"/>
          <w:lang w:val="uk-UA"/>
        </w:rPr>
      </w:r>
    </w:p>
    <w:p>
      <w:pPr>
        <w:pStyle w:val="98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 w:right="5528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tabs>
          <w:tab w:val="left" w:leader="none" w:pos="426"/>
          <w:tab w:val="left" w:leader="none" w:pos="1276"/>
          <w:tab w:val="left" w:leader="none" w:pos="3850"/>
        </w:tabs>
        <w:spacing/>
        <w:ind/>
        <w:jc w:val="both"/>
        <w:rPr>
          <w:rFonts w:ascii="Times New Roman" w:hAnsi="Times New Roman" w:eastAsia="Times New Roman"/>
          <w:b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Про надання дозволу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ФОП Микитенку Юрію Михайловичу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на розробку технічної документації із землеустрою щодо вс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тановлення меж частини земельних ділянок на які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 поширюється право земельного сервітуту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 w:after="120"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709"/>
          <w:tab w:val="left" w:leader="none" w:pos="1134"/>
          <w:tab w:val="left" w:leader="none" w:pos="3850"/>
          <w:tab w:val="left" w:leader="none" w:pos="4111"/>
          <w:tab w:val="left" w:leader="none" w:pos="8080"/>
        </w:tabs>
        <w:spacing w:after="120"/>
        <w:ind w:firstLine="567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Розглянувши клопотання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Фізичної особи-підприємця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Микитенка Юрія Михайловича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щодо вс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тановлення меж частини земельних ділянок на які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поширюється право земельного сервітуту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0,0300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га та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0,0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100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 розміщення тимчасових споруд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(малих архітектурних форм)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для здійснення підприємницької діяльності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на земельній ділянці комунальної власності площею 0,0209 га кадастровий номер 7423010100:01:002:1179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та на земельній ділянці площею 0,1366 га кадастровий номер 7423010100:01:002:1177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за цільовим призначенням – для будівництва та обслуговування інших будівель громадської забудови (код згідно з КВЦПЗ -  03.15), по вулиці Чернігівській шлях, в м.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йону, Чернігівської області, які перебувають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на праві постійного користування КП «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», подані матеріали, керуючись ст.12, пункт "в" ст. 99, ст.100, ст.122, ст.123, ст.125, ст.186 Земельного кодексу України, ст. 26 Закону України «Про місцеве самоврядування в Україні»  Менська міська рада 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3850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935"/>
        <w:numPr>
          <w:ilvl w:val="0"/>
          <w:numId w:val="5"/>
        </w:numPr>
        <w:pBdr/>
        <w:tabs>
          <w:tab w:val="left" w:leader="none" w:pos="142"/>
          <w:tab w:val="left" w:leader="none" w:pos="284"/>
          <w:tab w:val="left" w:leader="none" w:pos="426"/>
          <w:tab w:val="left" w:leader="none" w:pos="709"/>
          <w:tab w:val="left" w:leader="none" w:pos="851"/>
          <w:tab w:val="left" w:leader="none" w:pos="1134"/>
          <w:tab w:val="left" w:leader="none" w:pos="1701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Надати дозвіл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Фізичній особі-підприємцю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Микитенку Юрію Михайловичу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на розроблення технічної документації із землеустрою щодо встановлення меж частини земельних ділянок, на які поширюється п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раво земельного сервітуту,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розміщення тимчасових споруд (малих архітектурних форм) для здійснення підприємницької діяльності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по вулиці Чернігівській шлях, в м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істі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ра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йону, Чернігівської області,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 земельних ділянках комунальної власності, </w:t>
      </w:r>
      <w:bookmarkStart w:id="1" w:name="_GoBack"/>
      <w:r/>
      <w:bookmarkEnd w:id="1"/>
      <w:r>
        <w:rPr>
          <w:rFonts w:ascii="Times New Roman" w:hAnsi="Times New Roman" w:eastAsia="Times New Roman"/>
          <w:sz w:val="28"/>
          <w:szCs w:val="28"/>
          <w:lang w:val="uk-UA"/>
        </w:rPr>
        <w:t xml:space="preserve">які перебувають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на праві постійного користування КП «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 а саме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935"/>
        <w:numPr>
          <w:ilvl w:val="0"/>
          <w:numId w:val="6"/>
        </w:numPr>
        <w:pBdr/>
        <w:tabs>
          <w:tab w:val="left" w:leader="none" w:pos="142"/>
          <w:tab w:val="left" w:leader="none" w:pos="284"/>
          <w:tab w:val="left" w:leader="none" w:pos="567"/>
          <w:tab w:val="left" w:leader="none" w:pos="709"/>
          <w:tab w:val="left" w:leader="none" w:pos="851"/>
          <w:tab w:val="left" w:leader="none" w:pos="1134"/>
          <w:tab w:val="left" w:leader="none" w:pos="1701"/>
        </w:tabs>
        <w:spacing/>
        <w:ind w:right="0"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0,0300 га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 земельній ділянці комунальної власності за цільовим призначенням – для будівництва та обслуговування інших будівель громадської забудови (код згідно з КВЦПЗ -  03.15)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0,1366 га кадастровий номер 7423010100:01:002:1177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935"/>
        <w:numPr>
          <w:ilvl w:val="0"/>
          <w:numId w:val="6"/>
        </w:numPr>
        <w:pBdr/>
        <w:tabs>
          <w:tab w:val="left" w:leader="none" w:pos="142"/>
          <w:tab w:val="left" w:leader="none" w:pos="284"/>
          <w:tab w:val="left" w:leader="none" w:pos="567"/>
          <w:tab w:val="left" w:leader="none" w:pos="709"/>
          <w:tab w:val="left" w:leader="none" w:pos="851"/>
          <w:tab w:val="left" w:leader="none" w:pos="1134"/>
          <w:tab w:val="left" w:leader="none" w:pos="1701"/>
        </w:tabs>
        <w:spacing/>
        <w:ind w:right="0"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площею 0,0100 га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на земельній ділянці комунальної власності за цільовим призначенням – для будівництва та обслуговування інших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будівель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громадської забудови (код згідно з КВЦПЗ -  03.15)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площею 0,0209 га кадастровий номер 7423010100:01: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002:1179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/>
        <w:tabs>
          <w:tab w:val="left" w:leader="none" w:pos="142"/>
          <w:tab w:val="left" w:leader="none" w:pos="284"/>
          <w:tab w:val="left" w:leader="none" w:pos="567"/>
          <w:tab w:val="left" w:leader="none" w:pos="709"/>
          <w:tab w:val="left" w:leader="none" w:pos="851"/>
          <w:tab w:val="left" w:leader="none" w:pos="1134"/>
          <w:tab w:val="left" w:leader="none" w:pos="1701"/>
        </w:tabs>
        <w:spacing/>
        <w:ind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відповідно до подани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х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схематичних матеріалів, що додаються до цього рішення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935"/>
        <w:numPr>
          <w:ilvl w:val="0"/>
          <w:numId w:val="5"/>
        </w:numPr>
        <w:pBdr/>
        <w:tabs>
          <w:tab w:val="left" w:leader="none" w:pos="142"/>
          <w:tab w:val="left" w:leader="none" w:pos="284"/>
          <w:tab w:val="left" w:leader="none" w:pos="426"/>
          <w:tab w:val="left" w:leader="none" w:pos="709"/>
          <w:tab w:val="left" w:leader="none" w:pos="851"/>
          <w:tab w:val="left" w:leader="none" w:pos="1134"/>
          <w:tab w:val="left" w:leader="none" w:pos="1701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Фізичній особі-підприємцю Микитенку Юрію Михайловичу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виготовлену технічну документацію із землеустрою щодо вс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тановлення меж частини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земельних ділянок, на які поширює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ться право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земельного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 сервітуту, подати на погодження до Менської міської ради та КП «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Менакомунпослуга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».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935"/>
        <w:numPr>
          <w:ilvl w:val="0"/>
          <w:numId w:val="5"/>
        </w:numPr>
        <w:pBdr/>
        <w:tabs>
          <w:tab w:val="left" w:leader="none" w:pos="0"/>
          <w:tab w:val="left" w:leader="none" w:pos="284"/>
          <w:tab w:val="left" w:leader="none" w:pos="426"/>
          <w:tab w:val="left" w:leader="none" w:pos="709"/>
          <w:tab w:val="left" w:leader="none" w:pos="851"/>
          <w:tab w:val="left" w:leader="none" w:pos="1134"/>
          <w:tab w:val="left" w:leader="none" w:pos="1701"/>
        </w:tabs>
        <w:spacing/>
        <w:ind w:firstLine="567" w:left="0"/>
        <w:jc w:val="both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Рішення набуває чинності з дня доведення його до відома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Фізичній особі-підприємцю Микитенку Юрію Михайловичу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 установленому законом порядку.</w:t>
      </w:r>
      <w:r>
        <w:rPr>
          <w:rFonts w:ascii="Times New Roman" w:hAnsi="Times New Roman" w:eastAsia="Times New Roman"/>
          <w:sz w:val="28"/>
          <w:szCs w:val="28"/>
          <w:lang w:val="uk-UA"/>
        </w:rPr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993"/>
        </w:tabs>
        <w:spacing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4.</w:t>
      </w:r>
      <w:r>
        <w:rPr>
          <w:rFonts w:ascii="Times New Roman" w:hAnsi="Times New Roman" w:eastAsia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з питань діяльності виконавчих органів ради С.М. </w:t>
      </w:r>
      <w:r>
        <w:rPr>
          <w:rFonts w:ascii="Times New Roman" w:hAnsi="Times New Roman"/>
          <w:sz w:val="28"/>
          <w:szCs w:val="28"/>
          <w:lang w:val="uk-UA"/>
        </w:rPr>
        <w:t xml:space="preserve">Гаєвого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.</w:t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6379"/>
        </w:tabs>
        <w:spacing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Секретар ради</w:t>
      </w:r>
      <w:r>
        <w:rPr>
          <w:rFonts w:ascii="Times New Roman" w:hAnsi="Times New Roman"/>
          <w:sz w:val="28"/>
          <w:lang w:val="uk-UA"/>
        </w:rPr>
        <w:tab/>
        <w:t xml:space="preserve">Юрій СТАЛЬНИЧЕНКО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4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5"/>
      <w:pBdr/>
      <w:spacing/>
      <w:ind/>
      <w:jc w:val="center"/>
      <w:rPr/>
    </w:pPr>
    <w:r>
      <w:rPr>
        <w:rFonts w:ascii="Times New Roman" w:hAnsi="Times New Roman" w:eastAsia="Times New Roman"/>
        <w:sz w:val="28"/>
        <w:lang w:val="uk-UA" w:eastAsia="uk-UA" w:bidi="ar-S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94334" cy="548640"/>
              <wp:effectExtent l="0" t="0" r="6350" b="381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6688" cy="55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05pt;height:43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94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D7F7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23C86797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nsid w:val="2BDE24C7"/>
    <w:lvl w:ilvl="0">
      <w:isLgl w:val="false"/>
      <w:lvlJc w:val="left"/>
      <w:lvlText w:val="%1."/>
      <w:numFmt w:val="decimal"/>
      <w:pPr>
        <w:pBdr/>
        <w:spacing/>
        <w:ind w:hanging="360" w:left="347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19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491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563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635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707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779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851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9239"/>
      </w:pPr>
      <w:rPr/>
      <w:start w:val="1"/>
      <w:suff w:val="tab"/>
    </w:lvl>
  </w:abstractNum>
  <w:abstractNum w:abstractNumId="3">
    <w:nsid w:val="2C527D66"/>
    <w:lvl w:ilvl="0">
      <w:isLgl w:val="false"/>
      <w:lvlJc w:val="left"/>
      <w:lvlText w:val="%1)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nsid w:val="68A714F5"/>
    <w:lvl w:ilvl="0">
      <w:isLgl w:val="false"/>
      <w:lvlJc w:val="left"/>
      <w:lvlText w:val="%1."/>
      <w:numFmt w:val="decimal"/>
      <w:pPr>
        <w:pBdr/>
        <w:spacing/>
        <w:ind w:hanging="360" w:left="914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6FF55956"/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6">
    <w:name w:val="Placeholder Text"/>
    <w:basedOn w:val="767"/>
    <w:uiPriority w:val="99"/>
    <w:semiHidden/>
    <w:pPr>
      <w:pBdr/>
      <w:spacing/>
      <w:ind/>
    </w:pPr>
    <w:rPr>
      <w:color w:val="666666"/>
    </w:rPr>
  </w:style>
  <w:style w:type="paragraph" w:styleId="757" w:default="1">
    <w:name w:val="Normal"/>
    <w:qFormat/>
    <w:pPr>
      <w:pBdr/>
      <w:spacing/>
      <w:ind/>
    </w:pPr>
  </w:style>
  <w:style w:type="paragraph" w:styleId="758">
    <w:name w:val="Heading 1"/>
    <w:basedOn w:val="757"/>
    <w:next w:val="757"/>
    <w:link w:val="986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59">
    <w:name w:val="Heading 2"/>
    <w:link w:val="92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60">
    <w:name w:val="Heading 3"/>
    <w:link w:val="92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61">
    <w:name w:val="Heading 4"/>
    <w:link w:val="92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2">
    <w:name w:val="Heading 5"/>
    <w:link w:val="93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link w:val="93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64">
    <w:name w:val="Heading 7"/>
    <w:link w:val="93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65">
    <w:name w:val="Heading 8"/>
    <w:link w:val="9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66">
    <w:name w:val="Heading 9"/>
    <w:link w:val="93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table" w:styleId="770">
    <w:name w:val="Plain Table 1"/>
    <w:basedOn w:val="76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76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9">
    <w:name w:val="Intense Emphasis"/>
    <w:basedOn w:val="76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0">
    <w:name w:val="Intense Reference"/>
    <w:basedOn w:val="76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1">
    <w:name w:val="Subtle Emphasis"/>
    <w:basedOn w:val="7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2">
    <w:name w:val="Emphasis"/>
    <w:basedOn w:val="767"/>
    <w:uiPriority w:val="20"/>
    <w:qFormat/>
    <w:pPr>
      <w:pBdr/>
      <w:spacing/>
      <w:ind/>
    </w:pPr>
    <w:rPr>
      <w:i/>
      <w:iCs/>
    </w:rPr>
  </w:style>
  <w:style w:type="character" w:styleId="793">
    <w:name w:val="Strong"/>
    <w:basedOn w:val="767"/>
    <w:uiPriority w:val="22"/>
    <w:qFormat/>
    <w:pPr>
      <w:pBdr/>
      <w:spacing/>
      <w:ind/>
    </w:pPr>
    <w:rPr>
      <w:b/>
      <w:bCs/>
    </w:rPr>
  </w:style>
  <w:style w:type="character" w:styleId="794">
    <w:name w:val="Subtle Reference"/>
    <w:basedOn w:val="7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5">
    <w:name w:val="Book Title"/>
    <w:basedOn w:val="76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6">
    <w:name w:val="FollowedHyperlink"/>
    <w:basedOn w:val="76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7" w:customStyle="1">
    <w:name w:val="Endnote Text Char"/>
    <w:uiPriority w:val="99"/>
    <w:pPr>
      <w:pBdr/>
      <w:spacing/>
      <w:ind/>
    </w:pPr>
    <w:rPr>
      <w:sz w:val="20"/>
    </w:rPr>
  </w:style>
  <w:style w:type="paragraph" w:styleId="798">
    <w:name w:val="Caption"/>
    <w:basedOn w:val="757"/>
    <w:next w:val="7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9" w:customStyle="1">
    <w:name w:val="Caption Char"/>
    <w:uiPriority w:val="99"/>
    <w:pPr>
      <w:pBdr/>
      <w:spacing/>
      <w:ind/>
    </w:pPr>
  </w:style>
  <w:style w:type="table" w:styleId="800" w:customStyle="1">
    <w:name w:val="Lined - Accent 6"/>
    <w:basedOn w:val="768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01">
    <w:name w:val="endnote text"/>
    <w:basedOn w:val="757"/>
    <w:link w:val="802"/>
    <w:uiPriority w:val="99"/>
    <w:semiHidden/>
    <w:unhideWhenUsed/>
    <w:pPr>
      <w:pBdr/>
      <w:spacing/>
      <w:ind/>
    </w:pPr>
    <w:rPr>
      <w:sz w:val="20"/>
    </w:rPr>
  </w:style>
  <w:style w:type="character" w:styleId="802" w:customStyle="1">
    <w:name w:val="Текст кінцевої виноски Знак"/>
    <w:link w:val="801"/>
    <w:uiPriority w:val="99"/>
    <w:pPr>
      <w:pBdr/>
      <w:spacing/>
      <w:ind/>
    </w:pPr>
    <w:rPr>
      <w:sz w:val="20"/>
    </w:rPr>
  </w:style>
  <w:style w:type="character" w:styleId="803">
    <w:name w:val="endnote reference"/>
    <w:basedOn w:val="767"/>
    <w:uiPriority w:val="99"/>
    <w:semiHidden/>
    <w:unhideWhenUsed/>
    <w:pPr>
      <w:pBdr/>
      <w:spacing/>
      <w:ind/>
    </w:pPr>
    <w:rPr>
      <w:vertAlign w:val="superscript"/>
    </w:rPr>
  </w:style>
  <w:style w:type="paragraph" w:styleId="804">
    <w:name w:val="table of figures"/>
    <w:basedOn w:val="757"/>
    <w:next w:val="757"/>
    <w:uiPriority w:val="99"/>
    <w:unhideWhenUsed/>
    <w:pPr>
      <w:pBdr/>
      <w:spacing/>
      <w:ind/>
    </w:pPr>
  </w:style>
  <w:style w:type="character" w:styleId="805" w:customStyle="1">
    <w:name w:val="Heading 2 Char"/>
    <w:basedOn w:val="76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6" w:customStyle="1">
    <w:name w:val="Heading 3 Char"/>
    <w:basedOn w:val="76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7" w:customStyle="1">
    <w:name w:val="Heading 4 Char"/>
    <w:basedOn w:val="76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8" w:customStyle="1">
    <w:name w:val="Heading 5 Char"/>
    <w:basedOn w:val="76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9" w:customStyle="1">
    <w:name w:val="Heading 6 Char"/>
    <w:basedOn w:val="76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0" w:customStyle="1">
    <w:name w:val="Heading 7 Char"/>
    <w:basedOn w:val="76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1" w:customStyle="1">
    <w:name w:val="Heading 8 Char"/>
    <w:basedOn w:val="7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2" w:customStyle="1">
    <w:name w:val="Heading 9 Char"/>
    <w:basedOn w:val="76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13" w:customStyle="1">
    <w:name w:val="Title Char"/>
    <w:basedOn w:val="767"/>
    <w:uiPriority w:val="10"/>
    <w:pPr>
      <w:pBdr/>
      <w:spacing/>
      <w:ind/>
    </w:pPr>
    <w:rPr>
      <w:sz w:val="48"/>
      <w:szCs w:val="48"/>
    </w:rPr>
  </w:style>
  <w:style w:type="character" w:styleId="814" w:customStyle="1">
    <w:name w:val="Subtitle Char"/>
    <w:basedOn w:val="767"/>
    <w:uiPriority w:val="11"/>
    <w:pPr>
      <w:pBdr/>
      <w:spacing/>
      <w:ind/>
    </w:pPr>
    <w:rPr>
      <w:sz w:val="24"/>
      <w:szCs w:val="24"/>
    </w:rPr>
  </w:style>
  <w:style w:type="character" w:styleId="815" w:customStyle="1">
    <w:name w:val="Quote Char"/>
    <w:uiPriority w:val="29"/>
    <w:pPr>
      <w:pBdr/>
      <w:spacing/>
      <w:ind/>
    </w:pPr>
    <w:rPr>
      <w:i/>
    </w:rPr>
  </w:style>
  <w:style w:type="character" w:styleId="816" w:customStyle="1">
    <w:name w:val="Intense Quote Char"/>
    <w:uiPriority w:val="30"/>
    <w:pPr>
      <w:pBdr/>
      <w:spacing/>
      <w:ind/>
    </w:pPr>
    <w:rPr>
      <w:i/>
    </w:rPr>
  </w:style>
  <w:style w:type="character" w:styleId="817" w:customStyle="1">
    <w:name w:val="Header Char"/>
    <w:basedOn w:val="767"/>
    <w:uiPriority w:val="99"/>
    <w:pPr>
      <w:pBdr/>
      <w:spacing/>
      <w:ind/>
    </w:pPr>
  </w:style>
  <w:style w:type="character" w:styleId="818" w:customStyle="1">
    <w:name w:val="Footer Char"/>
    <w:basedOn w:val="767"/>
    <w:uiPriority w:val="99"/>
    <w:pPr>
      <w:pBdr/>
      <w:spacing/>
      <w:ind/>
    </w:pPr>
  </w:style>
  <w:style w:type="table" w:styleId="819" w:customStyle="1">
    <w:name w:val="Table Grid Light"/>
    <w:basedOn w:val="76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11"/>
    <w:basedOn w:val="76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Звичайна таблиця 21"/>
    <w:basedOn w:val="76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3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4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5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Сітка таблиці 1 (світла)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я-сітка 2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я-сітка 3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я-сітка 41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1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2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3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5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6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Сітка таблиці 5 (темна)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Сітка таблиці 6 (кольорова)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Сітка таблиці 7 (кольорова)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Список таблиці 1 (світлий)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2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6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писок таблиці 2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Список таблиці 3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писок таблиці 4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писок таблиці 5 (темний)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Список таблиці 6 (кольоровий)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Список таблиці 7 (кольоровий)1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"/>
    <w:basedOn w:val="768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"/>
    <w:basedOn w:val="768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 w:customStyle="1">
    <w:name w:val="Footnote Text Char"/>
    <w:uiPriority w:val="99"/>
    <w:pPr>
      <w:pBdr/>
      <w:spacing/>
      <w:ind/>
    </w:pPr>
    <w:rPr>
      <w:sz w:val="18"/>
    </w:rPr>
  </w:style>
  <w:style w:type="character" w:styleId="926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27" w:customStyle="1">
    <w:name w:val="Заголовок 2 Знак"/>
    <w:link w:val="75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28" w:customStyle="1">
    <w:name w:val="Заголовок 3 Знак"/>
    <w:link w:val="76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29" w:customStyle="1">
    <w:name w:val="Заголовок 4 Знак"/>
    <w:link w:val="76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30" w:customStyle="1">
    <w:name w:val="Заголовок 5 Знак"/>
    <w:link w:val="7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31" w:customStyle="1">
    <w:name w:val="Заголовок 6 Знак"/>
    <w:link w:val="7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32" w:customStyle="1">
    <w:name w:val="Заголовок 7 Знак"/>
    <w:link w:val="76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33" w:customStyle="1">
    <w:name w:val="Заголовок 8 Знак"/>
    <w:link w:val="76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34" w:customStyle="1">
    <w:name w:val="Заголовок 9 Знак"/>
    <w:link w:val="7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35">
    <w:name w:val="List Paragraph"/>
    <w:qFormat/>
    <w:pPr>
      <w:pBdr/>
      <w:spacing/>
      <w:ind w:left="720"/>
      <w:contextualSpacing w:val="true"/>
    </w:pPr>
  </w:style>
  <w:style w:type="paragraph" w:styleId="936">
    <w:name w:val="No Spacing"/>
    <w:link w:val="956"/>
    <w:pPr>
      <w:pBdr/>
      <w:spacing/>
      <w:ind/>
    </w:pPr>
    <w:rPr>
      <w:lang w:val="uk-UA" w:bidi="ar-SA"/>
    </w:rPr>
  </w:style>
  <w:style w:type="paragraph" w:styleId="937">
    <w:name w:val="Title"/>
    <w:link w:val="93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38" w:customStyle="1">
    <w:name w:val="Назва Знак"/>
    <w:link w:val="937"/>
    <w:uiPriority w:val="10"/>
    <w:pPr>
      <w:pBdr/>
      <w:spacing/>
      <w:ind/>
    </w:pPr>
    <w:rPr>
      <w:sz w:val="48"/>
      <w:szCs w:val="48"/>
    </w:rPr>
  </w:style>
  <w:style w:type="paragraph" w:styleId="939">
    <w:name w:val="Subtitle"/>
    <w:link w:val="94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40" w:customStyle="1">
    <w:name w:val="Підзаголовок Знак"/>
    <w:link w:val="939"/>
    <w:uiPriority w:val="11"/>
    <w:pPr>
      <w:pBdr/>
      <w:spacing/>
      <w:ind/>
    </w:pPr>
    <w:rPr>
      <w:sz w:val="24"/>
      <w:szCs w:val="24"/>
    </w:rPr>
  </w:style>
  <w:style w:type="paragraph" w:styleId="941">
    <w:name w:val="Quote"/>
    <w:link w:val="942"/>
    <w:uiPriority w:val="29"/>
    <w:qFormat/>
    <w:pPr>
      <w:pBdr/>
      <w:spacing/>
      <w:ind w:right="720" w:left="720"/>
    </w:pPr>
    <w:rPr>
      <w:i/>
    </w:rPr>
  </w:style>
  <w:style w:type="character" w:styleId="942" w:customStyle="1">
    <w:name w:val="Цитата Знак"/>
    <w:link w:val="941"/>
    <w:uiPriority w:val="29"/>
    <w:pPr>
      <w:pBdr/>
      <w:spacing/>
      <w:ind/>
    </w:pPr>
    <w:rPr>
      <w:i/>
    </w:rPr>
  </w:style>
  <w:style w:type="paragraph" w:styleId="943">
    <w:name w:val="Intense Quote"/>
    <w:link w:val="9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44" w:customStyle="1">
    <w:name w:val="Насичена цитата Знак"/>
    <w:link w:val="943"/>
    <w:uiPriority w:val="30"/>
    <w:pPr>
      <w:pBdr/>
      <w:spacing/>
      <w:ind/>
    </w:pPr>
    <w:rPr>
      <w:i/>
    </w:rPr>
  </w:style>
  <w:style w:type="paragraph" w:styleId="945">
    <w:name w:val="Header"/>
    <w:link w:val="94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6" w:customStyle="1">
    <w:name w:val="Верхній колонтитул Знак"/>
    <w:link w:val="945"/>
    <w:uiPriority w:val="99"/>
    <w:pPr>
      <w:pBdr/>
      <w:spacing/>
      <w:ind/>
    </w:pPr>
  </w:style>
  <w:style w:type="paragraph" w:styleId="947">
    <w:name w:val="Footer"/>
    <w:link w:val="94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48" w:customStyle="1">
    <w:name w:val="Нижній колонтитул Знак"/>
    <w:link w:val="947"/>
    <w:uiPriority w:val="99"/>
    <w:pPr>
      <w:pBdr/>
      <w:spacing/>
      <w:ind/>
    </w:pPr>
  </w:style>
  <w:style w:type="table" w:styleId="949">
    <w:name w:val="Table Grid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Без інтервалів Знак"/>
    <w:link w:val="93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72">
    <w:name w:val="footnote text"/>
    <w:link w:val="973"/>
    <w:uiPriority w:val="99"/>
    <w:semiHidden/>
    <w:unhideWhenUsed/>
    <w:pPr>
      <w:pBdr/>
      <w:spacing w:after="40"/>
      <w:ind/>
    </w:pPr>
    <w:rPr>
      <w:sz w:val="18"/>
    </w:rPr>
  </w:style>
  <w:style w:type="character" w:styleId="973" w:customStyle="1">
    <w:name w:val="Текст виноски Знак"/>
    <w:link w:val="972"/>
    <w:uiPriority w:val="99"/>
    <w:pPr>
      <w:pBdr/>
      <w:spacing/>
      <w:ind/>
    </w:pPr>
    <w:rPr>
      <w:sz w:val="18"/>
    </w:rPr>
  </w:style>
  <w:style w:type="character" w:styleId="97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75">
    <w:name w:val="toc 1"/>
    <w:uiPriority w:val="39"/>
    <w:unhideWhenUsed/>
    <w:pPr>
      <w:pBdr/>
      <w:spacing w:after="57"/>
      <w:ind/>
    </w:pPr>
  </w:style>
  <w:style w:type="paragraph" w:styleId="976">
    <w:name w:val="toc 2"/>
    <w:uiPriority w:val="39"/>
    <w:unhideWhenUsed/>
    <w:pPr>
      <w:pBdr/>
      <w:spacing w:after="57"/>
      <w:ind w:left="283"/>
    </w:pPr>
  </w:style>
  <w:style w:type="paragraph" w:styleId="977">
    <w:name w:val="toc 3"/>
    <w:uiPriority w:val="39"/>
    <w:unhideWhenUsed/>
    <w:pPr>
      <w:pBdr/>
      <w:spacing w:after="57"/>
      <w:ind w:left="567"/>
    </w:pPr>
  </w:style>
  <w:style w:type="paragraph" w:styleId="978">
    <w:name w:val="toc 4"/>
    <w:uiPriority w:val="39"/>
    <w:unhideWhenUsed/>
    <w:pPr>
      <w:pBdr/>
      <w:spacing w:after="57"/>
      <w:ind w:left="850"/>
    </w:pPr>
  </w:style>
  <w:style w:type="paragraph" w:styleId="979">
    <w:name w:val="toc 5"/>
    <w:uiPriority w:val="39"/>
    <w:unhideWhenUsed/>
    <w:pPr>
      <w:pBdr/>
      <w:spacing w:after="57"/>
      <w:ind w:left="1134"/>
    </w:pPr>
  </w:style>
  <w:style w:type="paragraph" w:styleId="980">
    <w:name w:val="toc 6"/>
    <w:uiPriority w:val="39"/>
    <w:unhideWhenUsed/>
    <w:pPr>
      <w:pBdr/>
      <w:spacing w:after="57"/>
      <w:ind w:left="1417"/>
    </w:pPr>
  </w:style>
  <w:style w:type="paragraph" w:styleId="981">
    <w:name w:val="toc 7"/>
    <w:uiPriority w:val="39"/>
    <w:unhideWhenUsed/>
    <w:pPr>
      <w:pBdr/>
      <w:spacing w:after="57"/>
      <w:ind w:left="1701"/>
    </w:pPr>
  </w:style>
  <w:style w:type="paragraph" w:styleId="982">
    <w:name w:val="toc 8"/>
    <w:uiPriority w:val="39"/>
    <w:unhideWhenUsed/>
    <w:pPr>
      <w:pBdr/>
      <w:spacing w:after="57"/>
      <w:ind w:left="1984"/>
    </w:pPr>
  </w:style>
  <w:style w:type="paragraph" w:styleId="983">
    <w:name w:val="toc 9"/>
    <w:uiPriority w:val="39"/>
    <w:unhideWhenUsed/>
    <w:pPr>
      <w:pBdr/>
      <w:spacing w:after="57"/>
      <w:ind w:left="2268"/>
    </w:pPr>
  </w:style>
  <w:style w:type="paragraph" w:styleId="984">
    <w:name w:val="TOC Heading"/>
    <w:uiPriority w:val="39"/>
    <w:unhideWhenUsed/>
    <w:pPr>
      <w:pBdr/>
      <w:spacing/>
      <w:ind/>
    </w:pPr>
  </w:style>
  <w:style w:type="paragraph" w:styleId="985" w:customStyle="1">
    <w:name w:val="Титулка"/>
    <w:basedOn w:val="757"/>
    <w:pPr>
      <w:pBdr/>
      <w:spacing w:after="120"/>
      <w:ind/>
    </w:pPr>
    <w:rPr>
      <w:b/>
      <w:sz w:val="28"/>
      <w:lang w:eastAsia="ar-SA"/>
    </w:rPr>
  </w:style>
  <w:style w:type="character" w:styleId="986" w:customStyle="1">
    <w:name w:val="Заголовок 1 Знак"/>
    <w:link w:val="758"/>
    <w:pPr>
      <w:pBdr/>
      <w:spacing/>
      <w:ind/>
    </w:pPr>
    <w:rPr>
      <w:rFonts w:ascii="Times New Roman" w:hAnsi="Times New Roman" w:eastAsia="Times New Roman"/>
      <w:b/>
      <w:sz w:val="32"/>
      <w:lang w:val="en-US" w:eastAsia="en-US"/>
    </w:rPr>
  </w:style>
  <w:style w:type="paragraph" w:styleId="987">
    <w:name w:val="Balloon Text"/>
    <w:basedOn w:val="757"/>
    <w:link w:val="98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88" w:customStyle="1">
    <w:name w:val="Текст у виносці Знак"/>
    <w:basedOn w:val="767"/>
    <w:link w:val="98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89" w:customStyle="1">
    <w:name w:val="TOC Heading Char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/>
      <w:sz w:val="20"/>
      <w:szCs w:val="20"/>
      <w:lang w:val="uk-UA" w:eastAsia="ru-RU" w:bidi="ar-SA"/>
    </w:rPr>
  </w:style>
  <w:style w:type="paragraph" w:styleId="990">
    <w:name w:val="Normal (Web)"/>
    <w:basedOn w:val="75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341D62CE-4BA1-4958-8D26-8A842CA863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A7A89EA-BADF-4053-81E1-A390C3B914B4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Скирта Оксана Віталіївна</cp:lastModifiedBy>
  <cp:revision>28</cp:revision>
  <dcterms:created xsi:type="dcterms:W3CDTF">2025-08-07T07:29:00Z</dcterms:created>
  <dcterms:modified xsi:type="dcterms:W3CDTF">2026-03-20T13:29:36Z</dcterms:modified>
</cp:coreProperties>
</file>