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97"/>
        <w:pBdr/>
        <w:spacing/>
        <w:ind w:right="-57" w:left="6096"/>
        <w:rPr>
          <w:rStyle w:val="717"/>
          <w:lang w:val="uk-UA"/>
        </w:rPr>
      </w:pPr>
      <w:r>
        <w:rPr>
          <w:rStyle w:val="717"/>
        </w:rPr>
        <w:t xml:space="preserve">Додаток </w:t>
      </w:r>
      <w:r>
        <w:rPr>
          <w:rStyle w:val="717"/>
          <w:lang w:val="uk-UA"/>
        </w:rPr>
      </w:r>
      <w:r>
        <w:rPr>
          <w:rStyle w:val="717"/>
          <w:lang w:val="uk-UA"/>
        </w:rPr>
      </w:r>
    </w:p>
    <w:p>
      <w:pPr>
        <w:pStyle w:val="697"/>
        <w:pBdr/>
        <w:spacing/>
        <w:ind w:right="-57" w:left="6096"/>
        <w:rPr>
          <w:rStyle w:val="717"/>
        </w:rPr>
      </w:pPr>
      <w:r>
        <w:rPr>
          <w:rStyle w:val="717"/>
        </w:rPr>
        <w:t xml:space="preserve">до рішення 71 сесії Менської міської ради 8 скликання </w:t>
      </w:r>
      <w:r>
        <w:rPr>
          <w:b/>
          <w:sz w:val="28"/>
          <w:szCs w:val="28"/>
          <w:lang w:val="uk-UA"/>
        </w:rPr>
      </w:r>
    </w:p>
    <w:p>
      <w:pPr>
        <w:pStyle w:val="697"/>
        <w:pBdr/>
        <w:spacing/>
        <w:ind w:right="-57" w:left="6096"/>
        <w:rPr>
          <w:b/>
          <w:bCs/>
          <w:sz w:val="28"/>
          <w:szCs w:val="28"/>
          <w:lang w:val="uk-UA"/>
        </w:rPr>
      </w:pPr>
      <w:r>
        <w:rPr>
          <w:rStyle w:val="717"/>
        </w:rPr>
        <w:t xml:space="preserve">20 березня 2026 року №</w:t>
      </w:r>
      <w:r>
        <w:rPr>
          <w:sz w:val="28"/>
          <w:szCs w:val="28"/>
        </w:rPr>
        <w:t xml:space="preserve"> 134</w:t>
      </w:r>
      <w:r/>
    </w:p>
    <w:p>
      <w:pPr>
        <w:pStyle w:val="697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97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ПОЯСНЮВАЛЬНА ЗАПИСКА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702"/>
        <w:pBdr/>
        <w:spacing/>
        <w:ind w:firstLine="567"/>
        <w:jc w:val="center"/>
        <w:rPr>
          <w:b/>
        </w:rPr>
      </w:pPr>
      <w:r>
        <w:rPr>
          <w:b/>
        </w:rPr>
        <w:t xml:space="preserve">про виконання бюдж</w:t>
      </w:r>
      <w:r>
        <w:rPr>
          <w:b/>
        </w:rPr>
        <w:t xml:space="preserve">ету Менської міської </w:t>
      </w:r>
      <w:r>
        <w:rPr>
          <w:b/>
        </w:rPr>
        <w:t xml:space="preserve">територіальної громади </w:t>
      </w:r>
      <w:r>
        <w:rPr>
          <w:b/>
        </w:rPr>
      </w:r>
      <w:r>
        <w:rPr>
          <w:b/>
        </w:rPr>
      </w:r>
    </w:p>
    <w:p>
      <w:pPr>
        <w:pStyle w:val="702"/>
        <w:pBdr/>
        <w:spacing/>
        <w:ind w:firstLine="567"/>
        <w:jc w:val="center"/>
        <w:rPr>
          <w:b/>
        </w:rPr>
      </w:pPr>
      <w:r>
        <w:rPr>
          <w:b/>
        </w:rPr>
        <w:t xml:space="preserve">за</w:t>
      </w:r>
      <w:r>
        <w:rPr>
          <w:b/>
        </w:rPr>
        <w:t xml:space="preserve"> </w:t>
      </w:r>
      <w:r>
        <w:rPr>
          <w:b/>
        </w:rPr>
        <w:t xml:space="preserve">202</w:t>
      </w:r>
      <w:r>
        <w:rPr>
          <w:b/>
        </w:rPr>
        <w:t xml:space="preserve">5</w:t>
      </w:r>
      <w:r>
        <w:rPr>
          <w:b/>
        </w:rPr>
        <w:t xml:space="preserve"> </w:t>
      </w:r>
      <w:r>
        <w:rPr>
          <w:b/>
        </w:rPr>
        <w:t xml:space="preserve">р</w:t>
      </w:r>
      <w:r>
        <w:rPr>
          <w:b/>
        </w:rPr>
        <w:t xml:space="preserve">ік</w:t>
      </w:r>
      <w:r>
        <w:rPr>
          <w:b/>
        </w:rPr>
      </w:r>
      <w:r>
        <w:rPr>
          <w:b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загально</w:t>
      </w:r>
      <w:r>
        <w:rPr>
          <w:sz w:val="28"/>
          <w:szCs w:val="28"/>
          <w:lang w:val="uk-UA"/>
        </w:rPr>
        <w:t xml:space="preserve">го фонду бюджету Менської ТГ за</w:t>
      </w:r>
      <w:r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 xml:space="preserve">5 р</w:t>
      </w:r>
      <w:r>
        <w:rPr>
          <w:sz w:val="28"/>
          <w:szCs w:val="28"/>
          <w:lang w:val="uk-UA"/>
        </w:rPr>
        <w:t xml:space="preserve">ік</w:t>
      </w:r>
      <w:r>
        <w:rPr>
          <w:sz w:val="28"/>
          <w:szCs w:val="28"/>
          <w:lang w:val="uk-UA"/>
        </w:rPr>
        <w:t xml:space="preserve"> свідчать про те, що план надходжень податків, зборів, платежів (без міжбюджетних</w:t>
      </w:r>
      <w:r>
        <w:rPr>
          <w:sz w:val="28"/>
          <w:szCs w:val="28"/>
          <w:lang w:val="uk-UA"/>
        </w:rPr>
        <w:t xml:space="preserve"> трансфертів) виконано на </w:t>
      </w:r>
      <w:r>
        <w:rPr>
          <w:sz w:val="28"/>
          <w:szCs w:val="28"/>
          <w:lang w:val="uk-UA"/>
        </w:rPr>
        <w:t xml:space="preserve">104,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виконання становить </w:t>
      </w:r>
      <w:r>
        <w:rPr>
          <w:sz w:val="28"/>
          <w:szCs w:val="28"/>
          <w:lang w:val="uk-UA"/>
        </w:rPr>
        <w:t xml:space="preserve">11 988,1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(план – </w:t>
      </w:r>
      <w:r>
        <w:rPr>
          <w:sz w:val="28"/>
          <w:szCs w:val="28"/>
          <w:lang w:val="uk-UA"/>
        </w:rPr>
        <w:t xml:space="preserve">242 731,1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факт – </w:t>
      </w:r>
      <w:r>
        <w:rPr>
          <w:sz w:val="28"/>
          <w:szCs w:val="28"/>
          <w:lang w:val="uk-UA"/>
        </w:rPr>
        <w:t xml:space="preserve">254 719,2</w:t>
      </w:r>
      <w:r>
        <w:rPr>
          <w:sz w:val="28"/>
          <w:szCs w:val="28"/>
          <w:lang w:val="uk-UA"/>
        </w:rPr>
        <w:t xml:space="preserve"> тис. грн): 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податкові надходження </w:t>
      </w:r>
      <w:r>
        <w:rPr>
          <w:sz w:val="28"/>
          <w:szCs w:val="28"/>
          <w:lang w:val="uk-UA"/>
        </w:rPr>
        <w:t xml:space="preserve">виконані на </w:t>
      </w:r>
      <w:r>
        <w:rPr>
          <w:sz w:val="28"/>
          <w:szCs w:val="28"/>
          <w:lang w:val="uk-UA"/>
        </w:rPr>
        <w:t xml:space="preserve">104,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иконання становить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11 559,9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неподаткові надходження</w:t>
      </w:r>
      <w:r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 xml:space="preserve">иконані на </w:t>
      </w:r>
      <w:r>
        <w:rPr>
          <w:sz w:val="28"/>
          <w:szCs w:val="28"/>
          <w:lang w:val="uk-UA"/>
        </w:rPr>
        <w:t xml:space="preserve">10</w:t>
      </w:r>
      <w:r>
        <w:rPr>
          <w:sz w:val="28"/>
          <w:szCs w:val="28"/>
          <w:lang w:val="uk-UA"/>
        </w:rPr>
        <w:t xml:space="preserve">5,7</w:t>
      </w:r>
      <w:r>
        <w:rPr>
          <w:sz w:val="28"/>
          <w:szCs w:val="28"/>
          <w:lang w:val="uk-UA"/>
        </w:rPr>
        <w:t xml:space="preserve"> %</w:t>
      </w:r>
      <w:r>
        <w:rPr>
          <w:sz w:val="28"/>
          <w:szCs w:val="28"/>
          <w:lang w:val="uk-UA"/>
        </w:rPr>
        <w:t xml:space="preserve">, перевиконання становить  </w:t>
      </w:r>
      <w:r>
        <w:rPr>
          <w:sz w:val="28"/>
          <w:szCs w:val="28"/>
          <w:lang w:val="uk-UA"/>
        </w:rPr>
        <w:t xml:space="preserve">428,2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Надходження дотацій та субвенцій складають 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125932,4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в тому числі: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базо</w:t>
      </w:r>
      <w:r>
        <w:rPr>
          <w:sz w:val="28"/>
          <w:szCs w:val="28"/>
          <w:lang w:val="uk-UA"/>
        </w:rPr>
        <w:t xml:space="preserve">ва дотація (41020100) – </w:t>
      </w:r>
      <w:r>
        <w:rPr>
          <w:sz w:val="28"/>
          <w:szCs w:val="28"/>
          <w:lang w:val="uk-UA"/>
        </w:rPr>
        <w:t xml:space="preserve">24 2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7,9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додаткова дотація (41021400) – 537,4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</w:t>
      </w:r>
      <w:r>
        <w:rPr>
          <w:sz w:val="28"/>
          <w:szCs w:val="28"/>
          <w:lang w:val="uk-UA"/>
        </w:rPr>
        <w:t xml:space="preserve">на харчування</w:t>
      </w:r>
      <w:r>
        <w:rPr>
          <w:sz w:val="28"/>
          <w:szCs w:val="28"/>
          <w:lang w:val="uk-UA"/>
        </w:rPr>
        <w:t xml:space="preserve"> (410</w:t>
      </w:r>
      <w:r>
        <w:rPr>
          <w:sz w:val="28"/>
          <w:szCs w:val="28"/>
          <w:lang w:val="uk-UA"/>
        </w:rPr>
        <w:t xml:space="preserve">31100) – 302,4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</w:t>
      </w:r>
      <w:r>
        <w:rPr>
          <w:sz w:val="28"/>
          <w:szCs w:val="28"/>
          <w:lang w:val="uk-UA"/>
        </w:rPr>
        <w:t xml:space="preserve"> харчоблоки (41033500) – </w:t>
      </w:r>
      <w:r>
        <w:rPr>
          <w:sz w:val="28"/>
          <w:szCs w:val="28"/>
          <w:lang w:val="uk-UA"/>
        </w:rPr>
        <w:t xml:space="preserve">9 406,1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освітня</w:t>
      </w:r>
      <w:r>
        <w:rPr>
          <w:sz w:val="28"/>
          <w:szCs w:val="28"/>
          <w:lang w:val="uk-UA"/>
        </w:rPr>
        <w:t xml:space="preserve"> субвенція (41033900) – </w:t>
      </w:r>
      <w:r>
        <w:rPr>
          <w:sz w:val="28"/>
          <w:szCs w:val="28"/>
          <w:lang w:val="uk-UA"/>
        </w:rPr>
        <w:t xml:space="preserve">75 546,6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підтримку осіб з особливими осв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тніми потребами (41035400) – </w:t>
      </w:r>
      <w:r>
        <w:rPr>
          <w:sz w:val="28"/>
          <w:szCs w:val="28"/>
          <w:lang w:val="uk-UA"/>
        </w:rPr>
        <w:t xml:space="preserve">279,6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убвенція НУШ на реалізацію інвестиці</w:t>
      </w:r>
      <w:r>
        <w:rPr>
          <w:sz w:val="28"/>
          <w:szCs w:val="28"/>
          <w:lang w:val="uk-UA"/>
        </w:rPr>
        <w:t xml:space="preserve">йного про</w:t>
      </w:r>
      <w:r>
        <w:rPr>
          <w:sz w:val="28"/>
          <w:szCs w:val="28"/>
          <w:lang w:val="uk-UA"/>
        </w:rPr>
        <w:t xml:space="preserve">є</w:t>
      </w:r>
      <w:r>
        <w:rPr>
          <w:sz w:val="28"/>
          <w:szCs w:val="28"/>
          <w:lang w:val="uk-UA"/>
        </w:rPr>
        <w:t xml:space="preserve">кту (41036000) – 1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64,8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доплату педагогам (41036300)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8 245,7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житло (41050200) – 2</w:t>
      </w:r>
      <w:r>
        <w:rPr>
          <w:sz w:val="28"/>
          <w:szCs w:val="28"/>
          <w:lang w:val="uk-UA"/>
        </w:rPr>
        <w:t xml:space="preserve"> 729,8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</w:t>
      </w:r>
      <w:r>
        <w:rPr>
          <w:sz w:val="28"/>
          <w:szCs w:val="28"/>
          <w:lang w:val="uk-UA"/>
        </w:rPr>
        <w:t xml:space="preserve"> на інклюзивно-ресурсний центр за рахунок освітн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ої субвенції (41051000) – </w:t>
      </w:r>
      <w:r>
        <w:rPr>
          <w:sz w:val="28"/>
          <w:szCs w:val="28"/>
          <w:lang w:val="uk-UA"/>
        </w:rPr>
        <w:t xml:space="preserve">1 654,7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інші субвенції з місцевого бюджету (41053900) – </w:t>
      </w:r>
      <w:r>
        <w:rPr>
          <w:sz w:val="28"/>
          <w:szCs w:val="28"/>
          <w:lang w:val="uk-UA"/>
        </w:rPr>
        <w:t xml:space="preserve">689,6</w:t>
      </w:r>
      <w:r>
        <w:rPr>
          <w:sz w:val="28"/>
          <w:szCs w:val="28"/>
          <w:lang w:val="uk-UA"/>
        </w:rPr>
        <w:t xml:space="preserve"> тис. грн, з них: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утримання об’єкта спільного користування Менського центру ПМСД (з</w:t>
      </w:r>
      <w:r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 Березнянської ТГ) –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69,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пільгове медичне обслуговування осіб, які постраждали внаслідок Чорнобильської катаст</w:t>
      </w:r>
      <w:r>
        <w:rPr>
          <w:sz w:val="28"/>
          <w:szCs w:val="28"/>
          <w:lang w:val="uk-UA"/>
        </w:rPr>
        <w:t xml:space="preserve">рофи (з обласного бюджету) – </w:t>
      </w:r>
      <w:r>
        <w:rPr>
          <w:sz w:val="28"/>
          <w:szCs w:val="28"/>
          <w:lang w:val="uk-UA"/>
        </w:rPr>
        <w:t xml:space="preserve">41,2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виконання депутатських повноважень (з обласного бюджету) – </w:t>
      </w:r>
      <w:r>
        <w:rPr>
          <w:sz w:val="28"/>
          <w:szCs w:val="28"/>
          <w:lang w:val="uk-UA"/>
        </w:rPr>
        <w:t xml:space="preserve">211,4 </w:t>
      </w:r>
      <w:r>
        <w:rPr>
          <w:sz w:val="28"/>
          <w:szCs w:val="28"/>
          <w:lang w:val="uk-UA"/>
        </w:rPr>
        <w:t xml:space="preserve">тис. грн.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утримання дітей Забарі</w:t>
      </w:r>
      <w:r>
        <w:rPr>
          <w:sz w:val="28"/>
          <w:szCs w:val="28"/>
          <w:lang w:val="uk-UA"/>
        </w:rPr>
        <w:t xml:space="preserve">вського старостинського округу в закладах освіти та витрати на підвіз дітей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(з бюджету Корюківської ТГ) – 149,7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організацію освітнього процесу з навчального предмета «Захист України»</w:t>
      </w:r>
      <w:r>
        <w:rPr>
          <w:sz w:val="28"/>
          <w:szCs w:val="28"/>
          <w:lang w:val="uk-UA"/>
        </w:rPr>
        <w:t xml:space="preserve"> (з бюджету Березнянської ТГ) – 18,0 тис. грн.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про</w:t>
      </w:r>
      <w:r>
        <w:rPr>
          <w:sz w:val="28"/>
          <w:szCs w:val="28"/>
          <w:lang w:val="uk-UA"/>
        </w:rPr>
        <w:t xml:space="preserve">типожежний захист</w:t>
      </w:r>
      <w:r>
        <w:rPr>
          <w:sz w:val="28"/>
          <w:szCs w:val="28"/>
          <w:lang w:val="uk-UA"/>
        </w:rPr>
        <w:t xml:space="preserve"> (41057900) – 914,0 тис. грн;</w:t>
      </w:r>
      <w:r>
        <w:rPr>
          <w:sz w:val="28"/>
          <w:szCs w:val="28"/>
          <w:lang w:val="uk-UA"/>
        </w:rPr>
      </w:r>
    </w:p>
    <w:p>
      <w:pPr>
        <w:pStyle w:val="704"/>
        <w:numPr>
          <w:ilvl w:val="0"/>
          <w:numId w:val="2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спеціаліста із супроводу ветеранів (41059300) – </w:t>
      </w:r>
      <w:r>
        <w:rPr>
          <w:sz w:val="28"/>
          <w:szCs w:val="28"/>
          <w:lang w:val="uk-UA"/>
        </w:rPr>
        <w:t xml:space="preserve">153,7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tabs>
          <w:tab w:val="left" w:leader="none" w:pos="284"/>
        </w:tabs>
        <w:spacing w:after="0"/>
        <w:ind w:right="-57" w:left="5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загального фо</w:t>
      </w:r>
      <w:r>
        <w:rPr>
          <w:sz w:val="28"/>
          <w:szCs w:val="28"/>
          <w:lang w:val="uk-UA"/>
        </w:rPr>
        <w:t xml:space="preserve">нду </w:t>
      </w:r>
      <w:r>
        <w:rPr>
          <w:sz w:val="28"/>
          <w:szCs w:val="28"/>
          <w:lang w:val="uk-UA"/>
        </w:rPr>
        <w:t xml:space="preserve">бюджету виконана в сумі </w:t>
      </w:r>
      <w:r>
        <w:rPr>
          <w:sz w:val="28"/>
          <w:szCs w:val="28"/>
          <w:lang w:val="uk-UA"/>
        </w:rPr>
        <w:t xml:space="preserve">324 767,6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, що складає </w:t>
      </w:r>
      <w:r>
        <w:rPr>
          <w:sz w:val="28"/>
          <w:szCs w:val="28"/>
          <w:lang w:val="uk-UA"/>
        </w:rPr>
        <w:t xml:space="preserve">95,2</w:t>
      </w:r>
      <w:r>
        <w:rPr>
          <w:sz w:val="28"/>
          <w:szCs w:val="28"/>
          <w:lang w:val="uk-UA"/>
        </w:rPr>
        <w:t xml:space="preserve"> % до планового періоду, а саме на: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оплату праці працівників бюджетних установ та нарахування на неї – </w:t>
      </w:r>
      <w:r>
        <w:rPr>
          <w:sz w:val="28"/>
          <w:szCs w:val="28"/>
          <w:lang w:val="uk-UA"/>
        </w:rPr>
        <w:t xml:space="preserve">230</w:t>
      </w:r>
      <w:r>
        <w:rPr>
          <w:sz w:val="28"/>
          <w:szCs w:val="28"/>
          <w:lang w:val="uk-UA"/>
        </w:rPr>
        <w:t xml:space="preserve"> 931,5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 </w:t>
      </w:r>
      <w:r>
        <w:rPr>
          <w:sz w:val="28"/>
          <w:szCs w:val="28"/>
          <w:lang w:val="uk-UA"/>
        </w:rPr>
        <w:t xml:space="preserve">(7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,1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спожиті енергоносії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22 026,6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6,8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придбання продуктів харчування – </w:t>
      </w:r>
      <w:r>
        <w:rPr>
          <w:sz w:val="28"/>
          <w:szCs w:val="28"/>
          <w:lang w:val="uk-UA"/>
        </w:rPr>
        <w:t xml:space="preserve">5 341,7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1,6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медикаменти – </w:t>
      </w:r>
      <w:r>
        <w:rPr>
          <w:sz w:val="28"/>
          <w:szCs w:val="28"/>
          <w:lang w:val="uk-UA"/>
        </w:rPr>
        <w:t xml:space="preserve">118,2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виплати населенню – </w:t>
      </w:r>
      <w:r>
        <w:rPr>
          <w:sz w:val="28"/>
          <w:szCs w:val="28"/>
          <w:lang w:val="uk-UA"/>
        </w:rPr>
        <w:t xml:space="preserve">7 087,2</w:t>
      </w:r>
      <w:r>
        <w:rPr>
          <w:sz w:val="28"/>
          <w:szCs w:val="28"/>
          <w:lang w:val="uk-UA"/>
        </w:rPr>
        <w:t xml:space="preserve"> тис</w:t>
      </w:r>
      <w:r>
        <w:rPr>
          <w:sz w:val="28"/>
          <w:szCs w:val="28"/>
          <w:lang w:val="uk-UA"/>
        </w:rPr>
        <w:t xml:space="preserve">. грн (2,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субсидії і поточні трансферти</w:t>
      </w:r>
      <w:r>
        <w:rPr>
          <w:sz w:val="28"/>
          <w:szCs w:val="28"/>
          <w:lang w:val="uk-UA"/>
        </w:rPr>
        <w:t xml:space="preserve"> підприємствам – </w:t>
      </w:r>
      <w:r>
        <w:rPr>
          <w:sz w:val="28"/>
          <w:szCs w:val="28"/>
          <w:lang w:val="uk-UA"/>
        </w:rPr>
        <w:t xml:space="preserve">21 318,3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6,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субвенції з місце</w:t>
      </w:r>
      <w:r>
        <w:rPr>
          <w:sz w:val="28"/>
          <w:szCs w:val="28"/>
          <w:lang w:val="uk-UA"/>
        </w:rPr>
        <w:t xml:space="preserve">вого бюджету – </w:t>
      </w:r>
      <w:r>
        <w:rPr>
          <w:sz w:val="28"/>
          <w:szCs w:val="28"/>
          <w:lang w:val="uk-UA"/>
        </w:rPr>
        <w:t xml:space="preserve">4 126,6</w:t>
      </w:r>
      <w:r>
        <w:rPr>
          <w:sz w:val="28"/>
          <w:szCs w:val="28"/>
          <w:lang w:val="uk-UA"/>
        </w:rPr>
        <w:t xml:space="preserve"> тис. грн (1,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% загальної суми видатків)</w:t>
      </w:r>
      <w:r>
        <w:rPr>
          <w:sz w:val="28"/>
          <w:szCs w:val="28"/>
          <w:lang w:val="uk-UA"/>
        </w:rPr>
        <w:t xml:space="preserve">, а саме: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утримання бригад Бірківського та Макошинського пунктів Менської підстанції Корюківської станції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Е(Ш)МД</w:t>
      </w:r>
      <w:r>
        <w:rPr>
          <w:sz w:val="28"/>
          <w:szCs w:val="28"/>
          <w:lang w:val="uk-UA"/>
        </w:rPr>
        <w:t xml:space="preserve"> в сумі </w:t>
      </w:r>
      <w:r>
        <w:rPr>
          <w:sz w:val="28"/>
          <w:szCs w:val="28"/>
          <w:lang w:val="uk-UA"/>
        </w:rPr>
        <w:t xml:space="preserve">3 927,6</w:t>
      </w:r>
      <w:r>
        <w:rPr>
          <w:sz w:val="28"/>
          <w:szCs w:val="28"/>
          <w:lang w:val="uk-UA"/>
        </w:rPr>
        <w:t xml:space="preserve"> тис. грн та на проведення поточного ремонту на Менській підстанції в сумі 199,0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субвенції з місцевого </w:t>
      </w:r>
      <w:r>
        <w:rPr>
          <w:sz w:val="28"/>
          <w:szCs w:val="28"/>
          <w:lang w:val="uk-UA"/>
        </w:rPr>
        <w:t xml:space="preserve">бюджету державному бюджету – </w:t>
      </w:r>
      <w:r>
        <w:rPr>
          <w:sz w:val="28"/>
          <w:szCs w:val="28"/>
          <w:lang w:val="uk-UA"/>
        </w:rPr>
        <w:t xml:space="preserve">2 344,4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(0,7% загальної суми видатків)</w:t>
      </w:r>
      <w:r>
        <w:rPr>
          <w:sz w:val="28"/>
          <w:szCs w:val="28"/>
          <w:lang w:val="uk-UA"/>
        </w:rPr>
        <w:t xml:space="preserve">, а саме: на проведення ремонтних робіт, необхідних для впровадження системи "Custody Records" в відділенні поліції №1 м.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Мена в </w:t>
      </w:r>
      <w:r>
        <w:rPr>
          <w:sz w:val="28"/>
          <w:szCs w:val="28"/>
          <w:lang w:val="uk-UA"/>
        </w:rPr>
        <w:t xml:space="preserve">сумі </w:t>
      </w:r>
      <w:r>
        <w:rPr>
          <w:sz w:val="28"/>
          <w:szCs w:val="28"/>
          <w:lang w:val="uk-UA"/>
        </w:rPr>
        <w:t xml:space="preserve">793,7</w:t>
      </w:r>
      <w:r>
        <w:rPr>
          <w:sz w:val="28"/>
          <w:szCs w:val="28"/>
          <w:lang w:val="uk-UA"/>
        </w:rPr>
        <w:t xml:space="preserve"> тис. </w:t>
      </w:r>
      <w:r>
        <w:rPr>
          <w:sz w:val="28"/>
          <w:szCs w:val="28"/>
          <w:lang w:val="uk-UA"/>
        </w:rPr>
        <w:t xml:space="preserve">грн;</w:t>
      </w:r>
      <w:r>
        <w:rPr>
          <w:sz w:val="28"/>
          <w:szCs w:val="28"/>
          <w:lang w:val="uk-UA"/>
        </w:rPr>
        <w:t xml:space="preserve"> на паливо-мастильні матеріали для відділе</w:t>
      </w:r>
      <w:r>
        <w:rPr>
          <w:sz w:val="28"/>
          <w:szCs w:val="28"/>
          <w:lang w:val="uk-UA"/>
        </w:rPr>
        <w:t xml:space="preserve">ння поліції №1 м.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Мена в сумі 300</w:t>
      </w:r>
      <w:r>
        <w:rPr>
          <w:sz w:val="28"/>
          <w:szCs w:val="28"/>
          <w:lang w:val="uk-UA"/>
        </w:rPr>
        <w:t xml:space="preserve">,0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Регіональному сервісному центру ГСЦ МВС на облаштування в ТСЦ №7444 (м.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Мена) додаткової споруди (санвузла пристосованого для маломобільних груп населення</w:t>
      </w:r>
      <w:r>
        <w:rPr>
          <w:sz w:val="28"/>
          <w:szCs w:val="28"/>
          <w:lang w:val="uk-UA"/>
        </w:rPr>
        <w:t xml:space="preserve">)</w:t>
      </w:r>
      <w:r>
        <w:rPr>
          <w:sz w:val="28"/>
          <w:szCs w:val="28"/>
          <w:lang w:val="uk-UA"/>
        </w:rPr>
        <w:t xml:space="preserve"> в сумі </w:t>
      </w:r>
      <w:r>
        <w:rPr>
          <w:sz w:val="28"/>
          <w:szCs w:val="28"/>
          <w:lang w:val="uk-UA"/>
        </w:rPr>
        <w:t xml:space="preserve">199,8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 на ЗСУ в сумі 6</w:t>
      </w:r>
      <w:r>
        <w:rPr>
          <w:sz w:val="28"/>
          <w:szCs w:val="28"/>
          <w:lang w:val="uk-UA"/>
        </w:rPr>
        <w:t xml:space="preserve">01</w:t>
      </w:r>
      <w:r>
        <w:rPr>
          <w:sz w:val="28"/>
          <w:szCs w:val="28"/>
          <w:lang w:val="uk-UA"/>
        </w:rPr>
        <w:t xml:space="preserve">,0 тис. </w:t>
      </w:r>
      <w:r>
        <w:rPr>
          <w:sz w:val="28"/>
          <w:szCs w:val="28"/>
          <w:lang w:val="uk-UA"/>
        </w:rPr>
        <w:t xml:space="preserve">грн;</w:t>
      </w:r>
      <w:r>
        <w:rPr>
          <w:sz w:val="28"/>
          <w:szCs w:val="28"/>
          <w:lang w:val="uk-UA"/>
        </w:rPr>
        <w:t xml:space="preserve"> 10 ДПРЧ (м.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Мена) 1 ДПРЗ ГУ ДСНС УКРАЇНИ на ремонт приміщення в сумі </w:t>
      </w:r>
      <w:r>
        <w:rPr>
          <w:sz w:val="28"/>
          <w:szCs w:val="28"/>
          <w:lang w:val="uk-UA"/>
        </w:rPr>
        <w:t xml:space="preserve">300</w:t>
      </w:r>
      <w:r>
        <w:rPr>
          <w:sz w:val="28"/>
          <w:szCs w:val="28"/>
          <w:lang w:val="uk-UA"/>
        </w:rPr>
        <w:t xml:space="preserve">,0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, МВК №91 в сумі 149,9 тис. грн.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видатки – </w:t>
      </w:r>
      <w:r>
        <w:rPr>
          <w:sz w:val="28"/>
          <w:szCs w:val="28"/>
          <w:lang w:val="uk-UA"/>
        </w:rPr>
        <w:t xml:space="preserve">31 473,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(що скла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ає </w:t>
      </w:r>
      <w:r>
        <w:rPr>
          <w:sz w:val="28"/>
          <w:szCs w:val="28"/>
          <w:lang w:val="uk-UA"/>
        </w:rPr>
        <w:t xml:space="preserve">9,7</w:t>
      </w:r>
      <w:r>
        <w:rPr>
          <w:sz w:val="28"/>
          <w:szCs w:val="28"/>
          <w:lang w:val="uk-UA"/>
        </w:rPr>
        <w:t xml:space="preserve">% від загальної суми видаткі</w:t>
      </w:r>
      <w:r>
        <w:rPr>
          <w:sz w:val="28"/>
          <w:szCs w:val="28"/>
          <w:lang w:val="uk-UA"/>
        </w:rPr>
        <w:t xml:space="preserve">в).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right="-57" w:firstLine="567" w:left="567"/>
        <w:rPr>
          <w:rStyle w:val="717"/>
          <w:lang w:val="uk-UA"/>
        </w:rPr>
      </w:pPr>
      <w:r>
        <w:rPr>
          <w:rStyle w:val="717"/>
          <w:lang w:val="uk-UA"/>
        </w:rPr>
        <w:t xml:space="preserve">За напрямками фінансування кошти розподілені наступним чином: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державне </w:t>
      </w:r>
      <w:r>
        <w:rPr>
          <w:rStyle w:val="717"/>
          <w:lang w:val="uk-UA"/>
        </w:rPr>
        <w:t xml:space="preserve">управління – </w:t>
      </w:r>
      <w:r>
        <w:rPr>
          <w:rStyle w:val="717"/>
          <w:lang w:val="uk-UA"/>
        </w:rPr>
        <w:t xml:space="preserve">46 846,7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дошкі</w:t>
      </w:r>
      <w:r>
        <w:rPr>
          <w:rStyle w:val="717"/>
          <w:lang w:val="uk-UA"/>
        </w:rPr>
        <w:t xml:space="preserve">льні навчальні заклади – </w:t>
      </w:r>
      <w:r>
        <w:rPr>
          <w:rStyle w:val="717"/>
          <w:lang w:val="uk-UA"/>
        </w:rPr>
        <w:t xml:space="preserve">33 732,2 </w:t>
      </w:r>
      <w:r>
        <w:rPr>
          <w:rStyle w:val="717"/>
          <w:lang w:val="uk-UA"/>
        </w:rPr>
        <w:t xml:space="preserve">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з</w:t>
      </w:r>
      <w:r>
        <w:rPr>
          <w:rStyle w:val="717"/>
          <w:lang w:val="uk-UA"/>
        </w:rPr>
        <w:t xml:space="preserve">а</w:t>
      </w:r>
      <w:r>
        <w:rPr>
          <w:rStyle w:val="717"/>
          <w:lang w:val="uk-UA"/>
        </w:rPr>
        <w:t xml:space="preserve">гальноосвітні заклади – </w:t>
      </w:r>
      <w:r>
        <w:rPr>
          <w:rStyle w:val="717"/>
          <w:lang w:val="uk-UA"/>
        </w:rPr>
        <w:t xml:space="preserve">12</w:t>
      </w:r>
      <w:r>
        <w:rPr>
          <w:rStyle w:val="717"/>
          <w:lang w:val="uk-UA"/>
        </w:rPr>
        <w:t xml:space="preserve">6 375,</w:t>
      </w:r>
      <w:r>
        <w:rPr>
          <w:rStyle w:val="717"/>
          <w:lang w:val="uk-UA"/>
        </w:rPr>
        <w:t xml:space="preserve">5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позашкільна освіта – </w:t>
      </w:r>
      <w:r>
        <w:rPr>
          <w:rStyle w:val="717"/>
          <w:lang w:val="uk-UA"/>
        </w:rPr>
        <w:t xml:space="preserve">4 775,8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мистецька </w:t>
      </w:r>
      <w:r>
        <w:rPr>
          <w:rStyle w:val="717"/>
          <w:lang w:val="uk-UA"/>
        </w:rPr>
        <w:t xml:space="preserve">шк</w:t>
      </w:r>
      <w:r>
        <w:rPr>
          <w:rStyle w:val="717"/>
          <w:lang w:val="uk-UA"/>
        </w:rPr>
        <w:t xml:space="preserve">ола – </w:t>
      </w:r>
      <w:r>
        <w:rPr>
          <w:rStyle w:val="717"/>
          <w:lang w:val="uk-UA"/>
        </w:rPr>
        <w:t xml:space="preserve">6 592,5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інші заклади освіти (МНВК, Центр з обслуговування освітніх установ)–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12 053,9</w:t>
      </w:r>
      <w:r>
        <w:rPr>
          <w:rStyle w:val="717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центр професійного р</w:t>
      </w:r>
      <w:r>
        <w:rPr>
          <w:rStyle w:val="717"/>
          <w:lang w:val="uk-UA"/>
        </w:rPr>
        <w:t xml:space="preserve">озвитку педпрацівників – </w:t>
      </w:r>
      <w:r>
        <w:rPr>
          <w:rStyle w:val="717"/>
          <w:lang w:val="uk-UA"/>
        </w:rPr>
        <w:t xml:space="preserve">1 163,7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ІРЦ – </w:t>
      </w:r>
      <w:r>
        <w:rPr>
          <w:rStyle w:val="717"/>
          <w:lang w:val="uk-UA"/>
        </w:rPr>
        <w:t xml:space="preserve">1 627,3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надання підтримки особам з особл</w:t>
      </w:r>
      <w:r>
        <w:rPr>
          <w:rStyle w:val="717"/>
          <w:lang w:val="uk-UA"/>
        </w:rPr>
        <w:t xml:space="preserve">ивими осві</w:t>
      </w:r>
      <w:r>
        <w:rPr>
          <w:rStyle w:val="717"/>
          <w:lang w:val="uk-UA"/>
        </w:rPr>
        <w:t xml:space="preserve">тніми потребами – </w:t>
      </w:r>
      <w:r>
        <w:rPr>
          <w:rStyle w:val="717"/>
          <w:lang w:val="uk-UA"/>
        </w:rPr>
        <w:t xml:space="preserve">279,6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і</w:t>
      </w:r>
      <w:r>
        <w:rPr>
          <w:rStyle w:val="717"/>
          <w:lang w:val="uk-UA"/>
        </w:rPr>
        <w:t xml:space="preserve">нші програми по освіті – </w:t>
      </w:r>
      <w:r>
        <w:rPr>
          <w:rStyle w:val="717"/>
          <w:lang w:val="uk-UA"/>
        </w:rPr>
        <w:t xml:space="preserve">436,4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rStyle w:val="717"/>
          <w:lang w:val="uk-UA"/>
        </w:rPr>
      </w:r>
      <w:r>
        <w:rPr>
          <w:rStyle w:val="717"/>
          <w:lang w:val="uk-UA"/>
        </w:rPr>
      </w:r>
    </w:p>
    <w:p>
      <w:pPr>
        <w:pStyle w:val="704"/>
        <w:pBdr/>
        <w:spacing w:after="0"/>
        <w:ind w:right="-57" w:left="567"/>
        <w:rPr>
          <w:rStyle w:val="717"/>
          <w:lang w:val="uk-UA"/>
        </w:rPr>
      </w:pPr>
      <w:r>
        <w:rPr>
          <w:rStyle w:val="717"/>
          <w:lang w:val="uk-UA"/>
        </w:rPr>
        <w:t xml:space="preserve">- охорона здоров’я – </w:t>
      </w:r>
      <w:r>
        <w:rPr>
          <w:rStyle w:val="717"/>
          <w:lang w:val="uk-UA"/>
        </w:rPr>
        <w:t xml:space="preserve">9 529,1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територіальний центр соц</w:t>
      </w:r>
      <w:r>
        <w:rPr>
          <w:rStyle w:val="717"/>
          <w:lang w:val="uk-UA"/>
        </w:rPr>
        <w:t xml:space="preserve">і</w:t>
      </w:r>
      <w:r>
        <w:rPr>
          <w:rStyle w:val="717"/>
          <w:lang w:val="uk-UA"/>
        </w:rPr>
        <w:t xml:space="preserve">ального обслуговування – </w:t>
      </w:r>
      <w:r>
        <w:rPr>
          <w:rStyle w:val="717"/>
          <w:lang w:val="uk-UA"/>
        </w:rPr>
        <w:t xml:space="preserve">1</w:t>
      </w:r>
      <w:r>
        <w:rPr>
          <w:rStyle w:val="717"/>
          <w:lang w:val="uk-UA"/>
        </w:rPr>
        <w:t xml:space="preserve">4 475,4</w:t>
      </w:r>
      <w:r>
        <w:rPr>
          <w:rStyle w:val="717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центр соціальних служб для</w:t>
      </w:r>
      <w:r>
        <w:rPr>
          <w:rStyle w:val="717"/>
          <w:lang w:val="uk-UA"/>
        </w:rPr>
        <w:t xml:space="preserve"> сім’ї, дітей та молоді – </w:t>
      </w:r>
      <w:r>
        <w:rPr>
          <w:rStyle w:val="717"/>
          <w:lang w:val="uk-UA"/>
        </w:rPr>
        <w:t xml:space="preserve">3 253,0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виплати фізичним особам, які надають соціальні послуги громадянам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похилого віку – </w:t>
      </w:r>
      <w:r>
        <w:rPr>
          <w:rStyle w:val="717"/>
          <w:lang w:val="uk-UA"/>
        </w:rPr>
        <w:t xml:space="preserve">1 277,4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rStyle w:val="717"/>
          <w:lang w:val="uk-UA"/>
        </w:rPr>
      </w:r>
      <w:r>
        <w:rPr>
          <w:rStyle w:val="717"/>
          <w:lang w:val="uk-UA"/>
        </w:rPr>
      </w:r>
    </w:p>
    <w:p>
      <w:pPr>
        <w:pStyle w:val="704"/>
        <w:pBdr/>
        <w:spacing w:after="0"/>
        <w:ind w:right="-57" w:left="567"/>
        <w:rPr>
          <w:rStyle w:val="717"/>
          <w:lang w:val="uk-UA"/>
        </w:rPr>
      </w:pPr>
      <w:r>
        <w:rPr>
          <w:rStyle w:val="717"/>
          <w:lang w:val="uk-UA"/>
        </w:rPr>
        <w:t xml:space="preserve">- забезпечення діяльності фахівців із супроводу ветеранів – </w:t>
      </w:r>
      <w:r>
        <w:rPr>
          <w:rStyle w:val="717"/>
          <w:lang w:val="uk-UA"/>
        </w:rPr>
        <w:t xml:space="preserve">153,7</w:t>
      </w:r>
      <w:r>
        <w:rPr>
          <w:rStyle w:val="717"/>
          <w:lang w:val="uk-UA"/>
        </w:rPr>
        <w:t xml:space="preserve"> тис. грн,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</w:r>
    </w:p>
    <w:p>
      <w:pPr>
        <w:pStyle w:val="704"/>
        <w:pBdr/>
        <w:spacing w:after="0"/>
        <w:ind w:right="-57" w:left="567"/>
        <w:rPr>
          <w:rStyle w:val="717"/>
          <w:lang w:val="en-US"/>
        </w:rPr>
      </w:pPr>
      <w:r>
        <w:rPr>
          <w:rStyle w:val="717"/>
          <w:lang w:val="uk-UA"/>
        </w:rPr>
        <w:t xml:space="preserve">- на заходи у сфері молодіжної політики – 118,7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інші заходи у сфері соціального захисту і соціального забезпечення 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5</w:t>
      </w:r>
      <w:r>
        <w:rPr>
          <w:rStyle w:val="717"/>
          <w:lang w:val="uk-UA"/>
        </w:rPr>
        <w:t xml:space="preserve"> 748,0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публічна бібліотека – </w:t>
      </w:r>
      <w:r>
        <w:rPr>
          <w:rStyle w:val="717"/>
          <w:lang w:val="uk-UA"/>
        </w:rPr>
        <w:t xml:space="preserve">5 549,0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краєзнавчий музей –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682,1</w:t>
      </w:r>
      <w:r>
        <w:rPr>
          <w:rStyle w:val="717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будинки культури – </w:t>
      </w:r>
      <w:r>
        <w:rPr>
          <w:rStyle w:val="717"/>
          <w:lang w:val="uk-UA"/>
        </w:rPr>
        <w:t xml:space="preserve">12 510,3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інші заклад</w:t>
      </w:r>
      <w:r>
        <w:rPr>
          <w:rStyle w:val="717"/>
          <w:lang w:val="uk-UA"/>
        </w:rPr>
        <w:t xml:space="preserve">и культури (бухгалтерія) – </w:t>
      </w:r>
      <w:r>
        <w:rPr>
          <w:rStyle w:val="717"/>
          <w:lang w:val="uk-UA"/>
        </w:rPr>
        <w:t xml:space="preserve">1 301,6</w:t>
      </w:r>
      <w:r>
        <w:rPr>
          <w:rStyle w:val="717"/>
          <w:lang w:val="uk-UA"/>
        </w:rPr>
        <w:t xml:space="preserve"> тис. гр</w:t>
      </w:r>
      <w:r>
        <w:rPr>
          <w:rStyle w:val="717"/>
          <w:lang w:val="uk-UA"/>
        </w:rPr>
        <w:t xml:space="preserve">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інші заходи в га</w:t>
      </w:r>
      <w:r>
        <w:rPr>
          <w:rStyle w:val="717"/>
          <w:lang w:val="uk-UA"/>
        </w:rPr>
        <w:t xml:space="preserve">лузі культури і мистецтва</w:t>
      </w:r>
      <w:r>
        <w:rPr>
          <w:rStyle w:val="717"/>
          <w:lang w:val="uk-UA"/>
        </w:rPr>
        <w:t xml:space="preserve"> – </w:t>
      </w:r>
      <w:r>
        <w:rPr>
          <w:rStyle w:val="717"/>
          <w:lang w:val="uk-UA"/>
        </w:rPr>
        <w:t xml:space="preserve">455,7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rStyle w:val="717"/>
          <w:lang w:val="en-US"/>
        </w:rPr>
      </w:r>
      <w:r>
        <w:rPr>
          <w:rStyle w:val="717"/>
          <w:lang w:val="en-US"/>
        </w:rPr>
      </w:r>
    </w:p>
    <w:p>
      <w:pPr>
        <w:pStyle w:val="704"/>
        <w:pBdr/>
        <w:spacing w:after="0"/>
        <w:ind w:right="-57" w:left="567"/>
        <w:rPr>
          <w:color w:val="000000"/>
          <w:sz w:val="28"/>
          <w:szCs w:val="28"/>
          <w:lang w:val="uk-UA"/>
        </w:rPr>
      </w:pPr>
      <w:r>
        <w:rPr>
          <w:rStyle w:val="717"/>
          <w:lang w:val="en-US"/>
        </w:rPr>
        <w:t xml:space="preserve">- </w:t>
      </w:r>
      <w:r>
        <w:rPr>
          <w:rStyle w:val="717"/>
          <w:lang w:val="uk-UA"/>
        </w:rPr>
        <w:t xml:space="preserve">підтримка спорту вищих досягнень – 29,0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проведення навчально-тренувальних зборів і змагань з олімпійських видів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спорту – </w:t>
      </w:r>
      <w:r>
        <w:rPr>
          <w:rStyle w:val="717"/>
          <w:lang w:val="uk-UA"/>
        </w:rPr>
        <w:t xml:space="preserve">174,3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проведення навчально-тренувальних зборів і змагань з неолімпійських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видів спорту – 3</w:t>
      </w:r>
      <w:r>
        <w:rPr>
          <w:rStyle w:val="717"/>
          <w:lang w:val="uk-UA"/>
        </w:rPr>
        <w:t xml:space="preserve">9,8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навчально-тре</w:t>
      </w:r>
      <w:r>
        <w:rPr>
          <w:rStyle w:val="717"/>
          <w:lang w:val="uk-UA"/>
        </w:rPr>
        <w:t xml:space="preserve">нувальна робота (ДЮСШ</w:t>
      </w:r>
      <w:r>
        <w:rPr>
          <w:rStyle w:val="717"/>
          <w:lang w:val="uk-UA"/>
        </w:rPr>
        <w:t xml:space="preserve">) – </w:t>
      </w:r>
      <w:r>
        <w:rPr>
          <w:rStyle w:val="717"/>
          <w:lang w:val="uk-UA"/>
        </w:rPr>
        <w:t xml:space="preserve">2 388,4</w:t>
      </w:r>
      <w:r>
        <w:rPr>
          <w:rStyle w:val="717"/>
          <w:lang w:val="uk-UA"/>
        </w:rPr>
        <w:t xml:space="preserve"> тис. грн</w:t>
      </w:r>
      <w:r>
        <w:rPr>
          <w:rStyle w:val="717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житлово-</w:t>
      </w:r>
      <w:r>
        <w:rPr>
          <w:rStyle w:val="717"/>
          <w:lang w:val="uk-UA"/>
        </w:rPr>
        <w:t xml:space="preserve">к</w:t>
      </w:r>
      <w:r>
        <w:rPr>
          <w:rStyle w:val="717"/>
          <w:lang w:val="uk-UA"/>
        </w:rPr>
        <w:t xml:space="preserve">омунальне господарство – </w:t>
      </w:r>
      <w:r>
        <w:rPr>
          <w:rStyle w:val="717"/>
          <w:lang w:val="uk-UA"/>
        </w:rPr>
        <w:t xml:space="preserve">14 603,9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грн.,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 економічна діяльність – </w:t>
      </w:r>
      <w:r>
        <w:rPr>
          <w:rStyle w:val="717"/>
          <w:lang w:val="uk-UA"/>
        </w:rPr>
        <w:t xml:space="preserve">3 208,2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,</w:t>
      </w:r>
      <w:r>
        <w:rPr>
          <w:lang w:val="uk-UA"/>
        </w:rPr>
        <w:br w:type="textWrapping" w:clear="all"/>
      </w:r>
      <w:r>
        <w:rPr>
          <w:rStyle w:val="717"/>
          <w:lang w:val="uk-UA"/>
        </w:rPr>
        <w:t xml:space="preserve">- інша діяльність – </w:t>
      </w:r>
      <w:r>
        <w:rPr>
          <w:rStyle w:val="717"/>
          <w:lang w:val="uk-UA"/>
        </w:rPr>
        <w:t xml:space="preserve">8 915,4</w:t>
      </w:r>
      <w:r>
        <w:rPr>
          <w:rStyle w:val="717"/>
          <w:lang w:val="uk-UA"/>
        </w:rPr>
        <w:t xml:space="preserve">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</w:t>
      </w:r>
      <w:r>
        <w:rPr>
          <w:rStyle w:val="717"/>
          <w:lang w:val="uk-UA"/>
        </w:rPr>
        <w:t xml:space="preserve"> (в</w:t>
      </w:r>
      <w:r>
        <w:rPr>
          <w:rStyle w:val="717"/>
          <w:lang w:val="uk-UA"/>
        </w:rPr>
        <w:t xml:space="preserve"> т.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ч. мі</w:t>
      </w:r>
      <w:r>
        <w:rPr>
          <w:rStyle w:val="717"/>
          <w:lang w:val="uk-UA"/>
        </w:rPr>
        <w:t xml:space="preserve">сцева пожежна охорона – </w:t>
      </w:r>
      <w:r>
        <w:rPr>
          <w:rStyle w:val="717"/>
          <w:lang w:val="uk-UA"/>
        </w:rPr>
        <w:t xml:space="preserve">4 212,8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тис.</w:t>
      </w:r>
      <w:r>
        <w:rPr>
          <w:rStyle w:val="717"/>
          <w:lang w:val="uk-UA"/>
        </w:rPr>
        <w:t xml:space="preserve"> грн</w:t>
      </w:r>
      <w:r>
        <w:rPr>
          <w:rStyle w:val="717"/>
          <w:lang w:val="uk-UA"/>
        </w:rPr>
        <w:t xml:space="preserve">),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717"/>
          <w:lang w:val="uk-UA"/>
        </w:rPr>
        <w:t xml:space="preserve">-</w:t>
      </w:r>
      <w:r>
        <w:rPr>
          <w:rStyle w:val="717"/>
          <w:lang w:val="uk-UA"/>
        </w:rPr>
        <w:t xml:space="preserve"> міжбюджетні тра</w:t>
      </w:r>
      <w:r>
        <w:rPr>
          <w:rStyle w:val="717"/>
          <w:lang w:val="uk-UA"/>
        </w:rPr>
        <w:t xml:space="preserve">нсферти – </w:t>
      </w:r>
      <w:r>
        <w:rPr>
          <w:rStyle w:val="717"/>
          <w:lang w:val="uk-UA"/>
        </w:rPr>
        <w:t xml:space="preserve">6 471,0</w:t>
      </w:r>
      <w:r>
        <w:rPr>
          <w:rStyle w:val="717"/>
          <w:lang w:val="uk-UA"/>
        </w:rPr>
        <w:t xml:space="preserve"> тис.</w:t>
      </w:r>
      <w:r>
        <w:rPr>
          <w:rStyle w:val="717"/>
          <w:lang w:val="uk-UA"/>
        </w:rPr>
        <w:t xml:space="preserve"> </w:t>
      </w:r>
      <w:r>
        <w:rPr>
          <w:rStyle w:val="717"/>
          <w:lang w:val="uk-UA"/>
        </w:rPr>
        <w:t xml:space="preserve">грн.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704"/>
        <w:pBdr/>
        <w:tabs>
          <w:tab w:val="left" w:leader="none" w:pos="567"/>
        </w:tabs>
        <w:spacing w:after="0"/>
        <w:ind w:right="-5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спеціа</w:t>
      </w:r>
      <w:r>
        <w:rPr>
          <w:sz w:val="28"/>
          <w:szCs w:val="28"/>
          <w:lang w:val="uk-UA"/>
        </w:rPr>
        <w:t xml:space="preserve">льного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 xml:space="preserve">ік</w:t>
      </w:r>
      <w:r>
        <w:rPr>
          <w:sz w:val="28"/>
          <w:szCs w:val="28"/>
          <w:lang w:val="uk-UA"/>
        </w:rPr>
        <w:t xml:space="preserve"> (без урахування трансфертів) свідчать про те, що </w:t>
      </w:r>
      <w:r>
        <w:rPr>
          <w:sz w:val="28"/>
          <w:szCs w:val="28"/>
          <w:lang w:val="uk-UA"/>
        </w:rPr>
        <w:t xml:space="preserve">надходження виконано в сумі </w:t>
      </w:r>
      <w:r>
        <w:rPr>
          <w:sz w:val="28"/>
          <w:szCs w:val="28"/>
          <w:lang w:val="uk-UA"/>
        </w:rPr>
        <w:t xml:space="preserve">18 561,1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</w:t>
      </w:r>
      <w:r>
        <w:rPr>
          <w:sz w:val="28"/>
          <w:szCs w:val="28"/>
          <w:lang w:val="uk-UA"/>
        </w:rPr>
        <w:t xml:space="preserve">ння субвенці</w:t>
      </w:r>
      <w:r>
        <w:rPr>
          <w:sz w:val="28"/>
          <w:szCs w:val="28"/>
          <w:lang w:val="uk-UA"/>
        </w:rPr>
        <w:t xml:space="preserve">й складають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7 130,9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в тому числі: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освітня субвенція для створення сучасного освітнього простору (41033900) в сумі 4 224,6 тис. грн;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освітня субвенція в частині харчування учнів закладів загально</w:t>
      </w:r>
      <w:r>
        <w:rPr>
          <w:sz w:val="28"/>
          <w:szCs w:val="28"/>
          <w:lang w:val="uk-UA"/>
        </w:rPr>
        <w:t xml:space="preserve">ї середньої освіти (41033900) в сумі </w:t>
      </w:r>
      <w:r>
        <w:rPr>
          <w:sz w:val="28"/>
          <w:szCs w:val="28"/>
          <w:lang w:val="uk-UA"/>
        </w:rPr>
        <w:t xml:space="preserve">1 704,8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субвенція на покращення гаря</w:t>
      </w:r>
      <w:r>
        <w:rPr>
          <w:sz w:val="28"/>
          <w:szCs w:val="28"/>
          <w:lang w:val="uk-UA"/>
        </w:rPr>
        <w:t xml:space="preserve">чого харчування (41037400)</w:t>
      </w:r>
      <w:r>
        <w:rPr>
          <w:sz w:val="28"/>
          <w:szCs w:val="28"/>
          <w:lang w:val="uk-UA"/>
        </w:rPr>
        <w:t xml:space="preserve"> в сумі 931,4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 підтримку осіб з особливими освітніми потребами (41035400) в сумі </w:t>
      </w:r>
      <w:r>
        <w:rPr>
          <w:sz w:val="28"/>
          <w:szCs w:val="28"/>
          <w:lang w:val="uk-UA"/>
        </w:rPr>
        <w:t xml:space="preserve">270,1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спеціального фонду бюджету виконана в сумі </w:t>
      </w:r>
      <w:r>
        <w:rPr>
          <w:sz w:val="28"/>
          <w:szCs w:val="28"/>
          <w:lang w:val="uk-UA"/>
        </w:rPr>
        <w:t xml:space="preserve">75 453,5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</w:p>
    <w:p>
      <w:pPr>
        <w:pStyle w:val="704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захищені статті в</w:t>
      </w:r>
      <w:r>
        <w:rPr>
          <w:sz w:val="28"/>
          <w:szCs w:val="28"/>
          <w:lang w:val="uk-UA"/>
        </w:rPr>
        <w:t xml:space="preserve">идатків </w:t>
      </w:r>
      <w:r>
        <w:rPr>
          <w:sz w:val="28"/>
          <w:szCs w:val="28"/>
          <w:lang w:val="uk-UA"/>
        </w:rPr>
        <w:t xml:space="preserve">спрямовано </w:t>
      </w:r>
      <w:r>
        <w:rPr>
          <w:sz w:val="28"/>
          <w:szCs w:val="28"/>
          <w:lang w:val="uk-UA"/>
        </w:rPr>
        <w:t xml:space="preserve">6 005,1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, а саме на: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оплату пр</w:t>
      </w:r>
      <w:r>
        <w:rPr>
          <w:sz w:val="28"/>
          <w:szCs w:val="28"/>
          <w:lang w:val="uk-UA"/>
        </w:rPr>
        <w:t xml:space="preserve">аці та нарахування на неї – </w:t>
      </w:r>
      <w:r>
        <w:rPr>
          <w:sz w:val="28"/>
          <w:szCs w:val="28"/>
          <w:lang w:val="uk-UA"/>
        </w:rPr>
        <w:t xml:space="preserve">908,7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придбання медикаментів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92,5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придба</w:t>
      </w:r>
      <w:r>
        <w:rPr>
          <w:sz w:val="28"/>
          <w:szCs w:val="28"/>
          <w:lang w:val="uk-UA"/>
        </w:rPr>
        <w:t xml:space="preserve">ння продуктів харчування </w:t>
      </w:r>
      <w:r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4 682,9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спожиті енер</w:t>
      </w:r>
      <w:r>
        <w:rPr>
          <w:sz w:val="28"/>
          <w:szCs w:val="28"/>
          <w:lang w:val="uk-UA"/>
        </w:rPr>
        <w:t xml:space="preserve">гоносії – </w:t>
      </w:r>
      <w:r>
        <w:rPr>
          <w:sz w:val="28"/>
          <w:szCs w:val="28"/>
          <w:lang w:val="uk-UA"/>
        </w:rPr>
        <w:t xml:space="preserve">221,0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Капітальні трансферти підприємствам передані в сумі </w:t>
      </w:r>
      <w:r>
        <w:rPr>
          <w:sz w:val="28"/>
          <w:szCs w:val="28"/>
          <w:lang w:val="uk-UA"/>
        </w:rPr>
        <w:t xml:space="preserve">7 228,0</w:t>
      </w:r>
      <w:r>
        <w:rPr>
          <w:sz w:val="28"/>
          <w:szCs w:val="28"/>
          <w:lang w:val="uk-UA"/>
        </w:rPr>
        <w:t xml:space="preserve"> тис. грн ( в тому числі на медобладнання 2966,9 тис. грн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капремонт покрівлі даху у Менській ЛА 2967,7 тис. грн,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придбання</w:t>
      </w:r>
      <w:r>
        <w:rPr>
          <w:sz w:val="28"/>
          <w:szCs w:val="28"/>
          <w:lang w:val="uk-UA"/>
        </w:rPr>
        <w:t xml:space="preserve"> службового</w:t>
      </w:r>
      <w:r>
        <w:rPr>
          <w:sz w:val="28"/>
          <w:szCs w:val="28"/>
          <w:lang w:val="uk-UA"/>
        </w:rPr>
        <w:t xml:space="preserve"> житла для лікаря 800,0 тис. грн,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стоматологічну установку 159,0 тис. грн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мобільну туалетну кабіну 99,9 тис. грн</w:t>
      </w:r>
      <w:r>
        <w:rPr>
          <w:sz w:val="28"/>
          <w:szCs w:val="28"/>
          <w:lang w:val="uk-UA"/>
        </w:rPr>
        <w:t xml:space="preserve">, на виконання доручень виборців обласних депутатів 112,4 тис. грн, </w:t>
      </w:r>
      <w:r>
        <w:rPr>
          <w:sz w:val="28"/>
          <w:szCs w:val="28"/>
          <w:lang w:val="uk-UA"/>
        </w:rPr>
        <w:t xml:space="preserve">на прилад обліку спожитої теплової енергії 66,7 тис. грн, на виго</w:t>
      </w:r>
      <w:r>
        <w:rPr>
          <w:sz w:val="28"/>
          <w:szCs w:val="28"/>
          <w:lang w:val="uk-UA"/>
        </w:rPr>
        <w:t xml:space="preserve">товлення пкд для перенесення лічильника тепла 55,5 тис. грн</w:t>
      </w:r>
      <w:r>
        <w:rPr>
          <w:sz w:val="28"/>
          <w:szCs w:val="28"/>
          <w:lang w:val="uk-UA"/>
        </w:rPr>
        <w:t xml:space="preserve">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Передано субвенції з місцевого бюджету державному бюджету в сумі </w:t>
      </w:r>
      <w:r>
        <w:rPr>
          <w:sz w:val="28"/>
          <w:szCs w:val="28"/>
          <w:lang w:val="uk-UA"/>
        </w:rPr>
        <w:t xml:space="preserve">1 688,5</w:t>
      </w:r>
      <w:r>
        <w:rPr>
          <w:sz w:val="28"/>
          <w:szCs w:val="28"/>
          <w:lang w:val="uk-UA"/>
        </w:rPr>
        <w:t xml:space="preserve"> тис. грн, в тому числі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 на ЗСУ в сумі </w:t>
      </w:r>
      <w:r>
        <w:rPr>
          <w:sz w:val="28"/>
          <w:szCs w:val="28"/>
          <w:lang w:val="uk-UA"/>
        </w:rPr>
        <w:t xml:space="preserve">1 493,1</w:t>
      </w:r>
      <w:r>
        <w:rPr>
          <w:sz w:val="28"/>
          <w:szCs w:val="28"/>
          <w:lang w:val="uk-UA"/>
        </w:rPr>
        <w:t xml:space="preserve"> тис. грн;</w:t>
      </w:r>
      <w:r>
        <w:t xml:space="preserve"> </w:t>
      </w:r>
      <w:r>
        <w:rPr>
          <w:sz w:val="28"/>
          <w:szCs w:val="28"/>
          <w:lang w:val="uk-UA"/>
        </w:rPr>
        <w:t xml:space="preserve">на нагрудні камери та комп’ютерну техніку для ІТТ №4 Мена в сумі </w:t>
      </w:r>
      <w:r>
        <w:rPr>
          <w:sz w:val="28"/>
          <w:szCs w:val="28"/>
          <w:lang w:val="uk-UA"/>
        </w:rPr>
        <w:t xml:space="preserve">45,4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t xml:space="preserve"> </w:t>
      </w:r>
      <w:r>
        <w:rPr>
          <w:sz w:val="28"/>
          <w:szCs w:val="28"/>
          <w:lang w:val="uk-UA"/>
        </w:rPr>
        <w:t xml:space="preserve">на проведення демонтажу та заміни котла опалення та димаря в приміщенні для "Чернігівського обл центру контролю та профілактики хвороб" 150,0 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Передано капітальні трансферти населенню за рахунок відповідної субвенції для придбання ж</w:t>
      </w:r>
      <w:r>
        <w:rPr>
          <w:sz w:val="28"/>
          <w:szCs w:val="28"/>
          <w:lang w:val="uk-UA"/>
        </w:rPr>
        <w:t xml:space="preserve">итла в сумі 2 729,8 тис. грн.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</w:t>
      </w:r>
      <w:r>
        <w:rPr>
          <w:sz w:val="28"/>
          <w:szCs w:val="28"/>
          <w:lang w:val="uk-UA"/>
        </w:rPr>
        <w:t xml:space="preserve">уточнено</w:t>
      </w:r>
      <w:r>
        <w:rPr>
          <w:sz w:val="28"/>
          <w:szCs w:val="28"/>
          <w:lang w:val="uk-UA"/>
        </w:rPr>
        <w:t xml:space="preserve"> залишок коштів</w:t>
      </w:r>
      <w:r>
        <w:rPr>
          <w:sz w:val="28"/>
          <w:szCs w:val="28"/>
          <w:lang w:val="uk-UA"/>
        </w:rPr>
        <w:t xml:space="preserve">, що був на рахунка</w:t>
      </w:r>
      <w:r>
        <w:rPr>
          <w:sz w:val="28"/>
          <w:szCs w:val="28"/>
          <w:lang w:val="uk-UA"/>
        </w:rPr>
        <w:t xml:space="preserve">х </w:t>
      </w:r>
      <w:r>
        <w:rPr>
          <w:sz w:val="28"/>
          <w:szCs w:val="28"/>
          <w:lang w:val="uk-UA"/>
        </w:rPr>
        <w:t xml:space="preserve">загального фонду в сумі 12 638,5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 (власні надходження)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та залишок коштів бюджету розвитку в сумі 365,0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</w:t>
      </w:r>
      <w:r>
        <w:rPr>
          <w:sz w:val="28"/>
          <w:szCs w:val="28"/>
          <w:lang w:val="uk-UA"/>
        </w:rPr>
        <w:t xml:space="preserve">вітного періоду уточнено залишки</w:t>
      </w:r>
      <w:r>
        <w:rPr>
          <w:sz w:val="28"/>
          <w:szCs w:val="28"/>
          <w:lang w:val="uk-UA"/>
        </w:rPr>
        <w:t xml:space="preserve"> коштів</w:t>
      </w:r>
      <w:r>
        <w:rPr>
          <w:sz w:val="28"/>
          <w:szCs w:val="28"/>
          <w:lang w:val="uk-UA"/>
        </w:rPr>
        <w:t xml:space="preserve"> субвенцій, що були</w:t>
      </w:r>
      <w:r>
        <w:rPr>
          <w:sz w:val="28"/>
          <w:szCs w:val="28"/>
          <w:lang w:val="uk-UA"/>
        </w:rPr>
        <w:t xml:space="preserve"> на рахунках спеціального фонду</w:t>
      </w:r>
      <w:r>
        <w:rPr>
          <w:sz w:val="28"/>
          <w:szCs w:val="28"/>
          <w:lang w:val="uk-UA"/>
        </w:rPr>
        <w:t xml:space="preserve"> в сумі 9411,1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а саме: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субвенція на покращення гарячого харчування (41037400) – 331,7 тис. грн;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за рахунок залишку освітньої субвенції (Захист України) (41051100) – 821</w:t>
      </w:r>
      <w:r>
        <w:rPr>
          <w:sz w:val="28"/>
          <w:szCs w:val="28"/>
          <w:lang w:val="uk-UA"/>
        </w:rPr>
        <w:t xml:space="preserve">,4 тис. грн;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</w:t>
      </w:r>
      <w:r>
        <w:rPr>
          <w:sz w:val="28"/>
          <w:szCs w:val="28"/>
          <w:lang w:val="uk-UA"/>
        </w:rPr>
        <w:t xml:space="preserve"> відновлення (41059200) – 6363,5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 харчування (41033300) – 1894,5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уточнено та розподілено перевиконання коштів </w:t>
      </w:r>
      <w:r>
        <w:rPr>
          <w:sz w:val="28"/>
          <w:szCs w:val="28"/>
          <w:lang w:val="uk-UA"/>
        </w:rPr>
        <w:t xml:space="preserve">загального фонду в сумі </w:t>
      </w:r>
      <w:r>
        <w:rPr>
          <w:sz w:val="28"/>
          <w:szCs w:val="28"/>
          <w:lang w:val="uk-UA"/>
        </w:rPr>
        <w:t xml:space="preserve">63 109,0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Кошти резервного</w:t>
      </w:r>
      <w:r>
        <w:rPr>
          <w:sz w:val="28"/>
          <w:szCs w:val="28"/>
          <w:lang w:val="uk-UA"/>
        </w:rPr>
        <w:t xml:space="preserve"> фонду протягом </w:t>
      </w:r>
      <w:r>
        <w:rPr>
          <w:sz w:val="28"/>
          <w:szCs w:val="28"/>
          <w:lang w:val="uk-UA"/>
        </w:rPr>
        <w:t xml:space="preserve">звітного періоду</w:t>
      </w:r>
      <w:r>
        <w:rPr>
          <w:sz w:val="28"/>
          <w:szCs w:val="28"/>
          <w:lang w:val="uk-UA"/>
        </w:rPr>
        <w:t xml:space="preserve"> не використовувались.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97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6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ачальник</w:t>
      </w:r>
      <w:r>
        <w:rPr>
          <w:sz w:val="28"/>
          <w:szCs w:val="28"/>
          <w:lang w:val="uk-UA"/>
        </w:rPr>
        <w:t xml:space="preserve"> Фінансового управління                                                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6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                                                   </w:t>
      </w:r>
      <w:r>
        <w:rPr>
          <w:sz w:val="28"/>
          <w:szCs w:val="28"/>
          <w:lang w:val="uk-UA"/>
        </w:rPr>
        <w:t xml:space="preserve">Алла НЕРОСЛИК</w:t>
      </w: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851" w:right="567" w:bottom="1134" w:left="1701" w:header="709" w:footer="709" w:gutter="0"/>
      <w:pgNumType w:start="1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ntiqua">
    <w:panose1 w:val="020B060303080402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  <w:pBdr/>
      <w:tabs>
        <w:tab w:val="center" w:leader="none" w:pos="4819"/>
        <w:tab w:val="left" w:leader="none" w:pos="6660"/>
      </w:tabs>
      <w:spacing/>
      <w:ind/>
      <w:rPr>
        <w:lang w:val="uk-UA"/>
      </w:rPr>
    </w:pPr>
    <w:r>
      <w:tab/>
      <w:tab/>
    </w: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>
      <w:tab/>
    </w:r>
    <w:r>
      <w:rPr>
        <w:sz w:val="24"/>
        <w:szCs w:val="24"/>
        <w:lang w:val="uk-UA"/>
      </w:rPr>
      <w:t xml:space="preserve">продовження додатка</w:t>
    </w:r>
    <w:r>
      <w:rPr>
        <w:lang w:val="uk-UA"/>
      </w:rPr>
    </w:r>
    <w:r>
      <w:rPr>
        <w:lang w:val="uk-UA"/>
      </w:rPr>
    </w:r>
  </w:p>
  <w:p>
    <w:pPr>
      <w:pStyle w:val="711"/>
      <w:pBdr/>
      <w:spacing/>
      <w:ind/>
      <w:rPr>
        <w:lang w:val="uk-UA"/>
      </w:rPr>
    </w:pPr>
    <w:r>
      <w:rPr>
        <w:lang w:val="uk-UA"/>
      </w:rPr>
    </w:r>
    <w:r>
      <w:rPr>
        <w:lang w:val="uk-UA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9696C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33BB3E97"/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2">
    <w:nsid w:val="52CB7363"/>
    <w:lvl w:ilvl="0">
      <w:isLgl w:val="false"/>
      <w:lvlJc w:val="left"/>
      <w:lvlText w:val="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3">
    <w:nsid w:val="5E9E1747"/>
    <w:lvl w:ilvl="0">
      <w:isLgl w:val="false"/>
      <w:lvlJc w:val="left"/>
      <w:lvlText w:val=""/>
      <w:numFmt w:val="bullet"/>
      <w:pPr>
        <w:pBdr/>
        <w:spacing/>
        <w:ind w:hanging="360" w:left="50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nsid w:val="60393D29"/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5">
    <w:nsid w:val="7D77167C"/>
    <w:lvl w:ilvl="0">
      <w:isLgl w:val="false"/>
      <w:lvlJc w:val="left"/>
      <w:lvlText w:val="-"/>
      <w:numFmt w:val="bullet"/>
      <w:pPr>
        <w:pBdr/>
        <w:spacing/>
        <w:ind w:hanging="360" w:left="502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97"/>
    <w:next w:val="697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97"/>
    <w:next w:val="69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97"/>
    <w:next w:val="697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97"/>
    <w:next w:val="69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97"/>
    <w:next w:val="697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97"/>
    <w:next w:val="69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97"/>
    <w:next w:val="697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97"/>
    <w:next w:val="697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97"/>
    <w:next w:val="697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97"/>
    <w:next w:val="697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97"/>
    <w:next w:val="697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97"/>
    <w:next w:val="697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97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97"/>
    <w:next w:val="697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97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97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97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97"/>
    <w:next w:val="69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97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97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97"/>
    <w:next w:val="697"/>
    <w:uiPriority w:val="39"/>
    <w:unhideWhenUsed/>
    <w:pPr>
      <w:pBdr/>
      <w:spacing w:after="100"/>
      <w:ind/>
    </w:pPr>
  </w:style>
  <w:style w:type="paragraph" w:styleId="190">
    <w:name w:val="toc 2"/>
    <w:basedOn w:val="697"/>
    <w:next w:val="697"/>
    <w:uiPriority w:val="39"/>
    <w:unhideWhenUsed/>
    <w:pPr>
      <w:pBdr/>
      <w:spacing w:after="100"/>
      <w:ind w:left="220"/>
    </w:pPr>
  </w:style>
  <w:style w:type="paragraph" w:styleId="191">
    <w:name w:val="toc 3"/>
    <w:basedOn w:val="697"/>
    <w:next w:val="697"/>
    <w:uiPriority w:val="39"/>
    <w:unhideWhenUsed/>
    <w:pPr>
      <w:pBdr/>
      <w:spacing w:after="100"/>
      <w:ind w:left="440"/>
    </w:pPr>
  </w:style>
  <w:style w:type="paragraph" w:styleId="192">
    <w:name w:val="toc 4"/>
    <w:basedOn w:val="697"/>
    <w:next w:val="697"/>
    <w:uiPriority w:val="39"/>
    <w:unhideWhenUsed/>
    <w:pPr>
      <w:pBdr/>
      <w:spacing w:after="100"/>
      <w:ind w:left="660"/>
    </w:pPr>
  </w:style>
  <w:style w:type="paragraph" w:styleId="193">
    <w:name w:val="toc 5"/>
    <w:basedOn w:val="697"/>
    <w:next w:val="697"/>
    <w:uiPriority w:val="39"/>
    <w:unhideWhenUsed/>
    <w:pPr>
      <w:pBdr/>
      <w:spacing w:after="100"/>
      <w:ind w:left="880"/>
    </w:pPr>
  </w:style>
  <w:style w:type="paragraph" w:styleId="194">
    <w:name w:val="toc 6"/>
    <w:basedOn w:val="697"/>
    <w:next w:val="697"/>
    <w:uiPriority w:val="39"/>
    <w:unhideWhenUsed/>
    <w:pPr>
      <w:pBdr/>
      <w:spacing w:after="100"/>
      <w:ind w:left="1100"/>
    </w:pPr>
  </w:style>
  <w:style w:type="paragraph" w:styleId="195">
    <w:name w:val="toc 7"/>
    <w:basedOn w:val="697"/>
    <w:next w:val="697"/>
    <w:uiPriority w:val="39"/>
    <w:unhideWhenUsed/>
    <w:pPr>
      <w:pBdr/>
      <w:spacing w:after="100"/>
      <w:ind w:left="1320"/>
    </w:pPr>
  </w:style>
  <w:style w:type="paragraph" w:styleId="196">
    <w:name w:val="toc 8"/>
    <w:basedOn w:val="697"/>
    <w:next w:val="697"/>
    <w:uiPriority w:val="39"/>
    <w:unhideWhenUsed/>
    <w:pPr>
      <w:pBdr/>
      <w:spacing w:after="100"/>
      <w:ind w:left="1540"/>
    </w:pPr>
  </w:style>
  <w:style w:type="paragraph" w:styleId="197">
    <w:name w:val="toc 9"/>
    <w:basedOn w:val="697"/>
    <w:next w:val="69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97"/>
    <w:next w:val="697"/>
    <w:uiPriority w:val="99"/>
    <w:unhideWhenUsed/>
    <w:pPr>
      <w:pBdr/>
      <w:spacing w:after="0" w:afterAutospacing="0"/>
      <w:ind/>
    </w:pPr>
  </w:style>
  <w:style w:type="paragraph" w:styleId="697" w:default="1">
    <w:name w:val="Normal"/>
    <w:next w:val="697"/>
    <w:link w:val="697"/>
    <w:qFormat/>
    <w:pPr>
      <w:pBdr/>
      <w:spacing/>
      <w:ind/>
    </w:pPr>
    <w:rPr>
      <w:lang w:val="ru-RU" w:eastAsia="ru-RU" w:bidi="ar-SA"/>
    </w:rPr>
  </w:style>
  <w:style w:type="character" w:styleId="698">
    <w:name w:val="Шрифт абзацу за замовчуванням"/>
    <w:next w:val="698"/>
    <w:link w:val="697"/>
    <w:semiHidden/>
    <w:pPr>
      <w:pBdr/>
      <w:spacing/>
      <w:ind/>
    </w:pPr>
  </w:style>
  <w:style w:type="table" w:styleId="699">
    <w:name w:val="Звичайна таблиця"/>
    <w:next w:val="699"/>
    <w:link w:val="69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0">
    <w:name w:val="Немає списку"/>
    <w:next w:val="700"/>
    <w:link w:val="697"/>
    <w:semiHidden/>
    <w:pPr>
      <w:pBdr/>
      <w:spacing/>
      <w:ind/>
    </w:pPr>
  </w:style>
  <w:style w:type="character" w:styleId="701">
    <w:name w:val="Назва Знак"/>
    <w:next w:val="701"/>
    <w:link w:val="702"/>
    <w:pPr>
      <w:pBdr/>
      <w:spacing/>
      <w:ind/>
    </w:pPr>
    <w:rPr>
      <w:sz w:val="28"/>
      <w:szCs w:val="28"/>
      <w:lang w:val="uk-UA"/>
    </w:rPr>
  </w:style>
  <w:style w:type="paragraph" w:styleId="702">
    <w:name w:val="Назва"/>
    <w:basedOn w:val="697"/>
    <w:next w:val="702"/>
    <w:link w:val="701"/>
    <w:qFormat/>
    <w:pPr>
      <w:pBdr/>
      <w:spacing/>
      <w:ind/>
      <w:jc w:val="center"/>
    </w:pPr>
    <w:rPr>
      <w:sz w:val="28"/>
      <w:szCs w:val="28"/>
      <w:lang w:val="uk-UA"/>
    </w:rPr>
  </w:style>
  <w:style w:type="character" w:styleId="703">
    <w:name w:val="Название Знак1"/>
    <w:next w:val="703"/>
    <w:link w:val="702"/>
    <w:pPr>
      <w:pBdr/>
      <w:spacing/>
      <w:ind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704">
    <w:name w:val="Основний текст з відступом"/>
    <w:basedOn w:val="697"/>
    <w:next w:val="704"/>
    <w:link w:val="705"/>
    <w:unhideWhenUsed/>
    <w:pPr>
      <w:pBdr/>
      <w:spacing w:after="120"/>
      <w:ind w:left="283"/>
    </w:pPr>
    <w:rPr>
      <w:sz w:val="24"/>
      <w:szCs w:val="24"/>
    </w:rPr>
  </w:style>
  <w:style w:type="character" w:styleId="705">
    <w:name w:val="Основний текст з відступом Знак"/>
    <w:next w:val="705"/>
    <w:link w:val="704"/>
    <w:pPr>
      <w:pBdr/>
      <w:spacing/>
      <w:ind/>
    </w:pPr>
    <w:rPr>
      <w:sz w:val="24"/>
      <w:szCs w:val="24"/>
    </w:rPr>
  </w:style>
  <w:style w:type="paragraph" w:styleId="706">
    <w:name w:val="Звичайний (веб)"/>
    <w:basedOn w:val="697"/>
    <w:next w:val="706"/>
    <w:link w:val="697"/>
    <w:uiPriority w:val="99"/>
    <w:unhideWhenUsed/>
    <w:pPr>
      <w:pBdr/>
      <w:spacing w:after="100" w:afterAutospacing="1" w:before="100" w:beforeAutospacing="1"/>
      <w:ind/>
    </w:pPr>
    <w:rPr>
      <w:sz w:val="24"/>
      <w:szCs w:val="24"/>
    </w:rPr>
  </w:style>
  <w:style w:type="character" w:styleId="707">
    <w:name w:val="Основной текст (2)_"/>
    <w:next w:val="707"/>
    <w:link w:val="708"/>
    <w:pPr>
      <w:pBdr/>
      <w:spacing/>
      <w:ind/>
    </w:pPr>
    <w:rPr>
      <w:sz w:val="17"/>
      <w:szCs w:val="17"/>
      <w:shd w:val="clear" w:color="auto" w:fill="ffffff"/>
    </w:rPr>
  </w:style>
  <w:style w:type="paragraph" w:styleId="708">
    <w:name w:val="Основной текст (2)"/>
    <w:basedOn w:val="697"/>
    <w:next w:val="708"/>
    <w:link w:val="707"/>
    <w:pPr>
      <w:widowControl w:val="false"/>
      <w:pBdr/>
      <w:shd w:val="clear" w:color="auto" w:fill="ffffff"/>
      <w:spacing w:line="168" w:lineRule="exact"/>
      <w:ind/>
      <w:jc w:val="both"/>
    </w:pPr>
    <w:rPr>
      <w:sz w:val="17"/>
      <w:szCs w:val="17"/>
    </w:rPr>
  </w:style>
  <w:style w:type="paragraph" w:styleId="709">
    <w:name w:val="Текст у виносці"/>
    <w:basedOn w:val="697"/>
    <w:next w:val="709"/>
    <w:link w:val="710"/>
    <w:pPr>
      <w:pBdr/>
      <w:spacing/>
      <w:ind/>
    </w:pPr>
    <w:rPr>
      <w:rFonts w:ascii="Tahoma" w:hAnsi="Tahoma" w:cs="Tahoma"/>
      <w:sz w:val="16"/>
      <w:szCs w:val="16"/>
    </w:rPr>
  </w:style>
  <w:style w:type="character" w:styleId="710">
    <w:name w:val="Текст у виносці Знак"/>
    <w:next w:val="710"/>
    <w:link w:val="709"/>
    <w:pPr>
      <w:pBdr/>
      <w:spacing/>
      <w:ind/>
    </w:pPr>
    <w:rPr>
      <w:rFonts w:ascii="Tahoma" w:hAnsi="Tahoma" w:cs="Tahoma"/>
      <w:sz w:val="16"/>
      <w:szCs w:val="16"/>
    </w:rPr>
  </w:style>
  <w:style w:type="paragraph" w:styleId="711">
    <w:name w:val="Верхній колонтитул"/>
    <w:basedOn w:val="697"/>
    <w:next w:val="711"/>
    <w:link w:val="712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712">
    <w:name w:val="Верхній колонтитул Знак"/>
    <w:basedOn w:val="698"/>
    <w:next w:val="712"/>
    <w:link w:val="711"/>
    <w:uiPriority w:val="99"/>
    <w:pPr>
      <w:pBdr/>
      <w:spacing/>
      <w:ind/>
    </w:pPr>
  </w:style>
  <w:style w:type="paragraph" w:styleId="713">
    <w:name w:val="Нижній колонтитул"/>
    <w:basedOn w:val="697"/>
    <w:next w:val="713"/>
    <w:link w:val="714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714">
    <w:name w:val="Нижній колонтитул Знак"/>
    <w:basedOn w:val="698"/>
    <w:next w:val="714"/>
    <w:link w:val="713"/>
    <w:pPr>
      <w:pBdr/>
      <w:spacing/>
      <w:ind/>
    </w:pPr>
  </w:style>
  <w:style w:type="paragraph" w:styleId="715">
    <w:name w:val="Назва документа"/>
    <w:basedOn w:val="697"/>
    <w:next w:val="697"/>
    <w:link w:val="697"/>
    <w:pPr>
      <w:keepNext w:val="true"/>
      <w:keepLines w:val="true"/>
      <w:pBdr/>
      <w:spacing w:after="240" w:before="240"/>
      <w:ind/>
      <w:jc w:val="center"/>
    </w:pPr>
    <w:rPr>
      <w:rFonts w:ascii="Antiqua" w:hAnsi="Antiqua"/>
      <w:b/>
      <w:sz w:val="26"/>
      <w:lang w:val="uk-UA"/>
    </w:rPr>
  </w:style>
  <w:style w:type="paragraph" w:styleId="716">
    <w:name w:val="Shapka Documentu"/>
    <w:basedOn w:val="697"/>
    <w:next w:val="716"/>
    <w:link w:val="697"/>
    <w:pPr>
      <w:keepNext w:val="true"/>
      <w:keepLines w:val="true"/>
      <w:pBdr/>
      <w:spacing w:after="240"/>
      <w:ind w:left="3969"/>
      <w:jc w:val="center"/>
    </w:pPr>
    <w:rPr>
      <w:rFonts w:ascii="Antiqua" w:hAnsi="Antiqua"/>
      <w:sz w:val="26"/>
      <w:lang w:val="uk-UA"/>
    </w:rPr>
  </w:style>
  <w:style w:type="character" w:styleId="717">
    <w:name w:val="fontstyle01"/>
    <w:next w:val="717"/>
    <w:link w:val="697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MoBIL GROUP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Кужекіна Юлія Сергіївна</cp:lastModifiedBy>
  <cp:revision>329</cp:revision>
  <dcterms:created xsi:type="dcterms:W3CDTF">2025-01-16T07:29:00Z</dcterms:created>
  <dcterms:modified xsi:type="dcterms:W3CDTF">2026-03-20T13:23:02Z</dcterms:modified>
  <cp:version>1048576</cp:version>
</cp:coreProperties>
</file>