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767"/>
        </w:tabs>
        <w:spacing w:after="0" w:line="240" w:lineRule="auto"/>
        <w:ind w:firstLine="2267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/>
      <w:bookmarkStart w:id="0" w:name="_heading=h.3c8glmn42nu1"/>
      <w:r/>
      <w:bookmarkEnd w:id="0"/>
      <w:r>
        <w:rPr>
          <w:color w:val="000000"/>
          <w:rtl w:val="0"/>
        </w:rPr>
        <w:t xml:space="preserve">     </w:t>
      </w: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14425" cy="1350963"/>
                <wp:effectExtent l="0" t="0" r="0" b="0"/>
                <wp:docPr id="1" name="image1.jpg" descr="Картинки по запросу менська громада герб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Картинки по запросу менська громада герб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14425" cy="13509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87.75pt;height:106.38pt;mso-wrap-distance-left:0.00pt;mso-wrap-distance-top:0.00pt;mso-wrap-distance-right:0.00pt;mso-wrap-distance-bottom:0.00pt;z-index:1;">
                <v:imagedata r:id="rId13" o:title="" croptop="0f" cropleft="0f" cropbottom="0f" cropright="0f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133475" cy="133350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33475" cy="1333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89.25pt;height:105.00pt;mso-wrap-distance-left:0.00pt;mso-wrap-distance-top:0.00pt;mso-wrap-distance-right:0.00pt;mso-wrap-distance-bottom:0.00pt;z-index:1;">
                <v:imagedata r:id="rId14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МЕМОРАНДУМ ПРО СПІВ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РОБІТНИЦТВО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територіальних громад у формі партнерства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16"/>
          <w:szCs w:val="1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rtl w:val="0"/>
        </w:rPr>
        <w:t xml:space="preserve">   м. Мена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  <w:tab/>
        <w:tab/>
        <w:tab/>
        <w:tab/>
        <w:t xml:space="preserve">                       __________ 2026 року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rtl w:val="0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  <w:rtl w:val="0"/>
        </w:rPr>
        <w:t xml:space="preserve"> (місце укладення)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Мирон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івська міська територіальна громада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Обухів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ського району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Київ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ської області в особі міського голови Віталі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Миколай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овича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САВЕНКА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, що надалі іменується «партнерська громада» та Менська міська рада Чернігівської області в особі секретаря ради Юрія Валерійовича СТАЛЬНИЧЕНКА, що надалі іменується «громада-форпост», а разом – сторони, уклали цей меморандум про таке: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hanging="360" w:left="128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Загальні положення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 w:left="927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Метою цього меморандуму є налагодження співпраці між партнерською громадою та громадою-форпостом для подолання наслідків збройної агресії російської федерації, задоволення базових потреб жителів, які проживають на 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адаптації, підтримки місцевого населення та внутрішньо переміщених осіб через надання гуманітарної допомоги,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роведення аварійно-відновлювальних робіт, реалізацію культурно-освітніх заходів та інших ініціатив, спрямованих на покращення умов життя та функціонування громади-форпосту. Підписанням цього меморандуму сторони підтверджують, що інтересам кожної з них відп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овідає спільна і узгоджена співпраця у формі надання партнерською громадою підтримки громаді-форпосту. У процесі надання підтримки сторони провадитимуть спільну діяльність на принципах законності, добровільності, рівноправності, прозорості та відкритості.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hanging="360" w:left="128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Предмет меморандуму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 w:left="927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Відповідно  до  Законів  України  “Про  місцеве  самоврядування  в  Україні”, “Про  співробітництво  територіальних  громад”,  постанови  Кабінету  Міністрів України від 31 січня 2025 р. № 97 “Про реалізацію експериментального 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екту із сприяння налагодженню системної взаємодії між територіальними громадами задля  зміцнення  єдності  та  стійкості  у  подоланні  наслідків  збройної  агресії Російської  Федерації  проти  України”,  з  метою  вирішення  питань  місцевого значення 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торони  домовились  про  отримання  громадою-форпостом  підтримки від  партнерської  громади  у  вигляді,  обсягах  та  в  строки,  які  визначені  цим меморандумом  (угодою),  додатками  до  нього,  що  є  його  невід’ємними частинами (у разі наявності).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Підтримка надається протягом одного року починаючи із дня підписання Меморандуму сторонами, але не пізніше 01 березня 2026 року.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" w:before="20" w:line="240" w:lineRule="auto"/>
        <w:ind w:firstLine="57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  рамках  реалізації  меморандуму  (угоди)  здійснюватимуться  такі  заходи (форми підтримки):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pBdr/>
        <w:shd w:val="clear" w:color="auto" w:fill="ffffff"/>
        <w:spacing w:after="2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надання гуманітарної допомоги: забезп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ечення населення базовими продуктами харчування, засобами гігієни, медикаментами, питною водою, одягом та іншими товарами першої необхідності, які, зокрема, отримані партнерською громадою для власного використання як гуманітарна допомога від третіх сторін;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pBdr/>
        <w:shd w:val="clear" w:color="auto" w:fill="ffffff"/>
        <w:spacing w:after="2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безоплатна та безповоротна передача у комунальну власність громади-форпосту техніки, обладнання, матері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алів, необхідних, зокрема, для проведення аварійно-відновлювальних, ремонтних робіт та забезпечення життєдіяльності територіальної громади, або безоплатне надання такого майна (техніки, обладнання, матеріалів) у тимчасове користування для зазначених цілей;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pBdr/>
        <w:shd w:val="clear" w:color="auto" w:fill="ffffff"/>
        <w:spacing w:after="2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організаці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я та проведення на територіях сестринських громад культурно-освітніх заходів: інформаційно-просвітницьких, культурних, розважальних та інших заходів, спрямованих на згуртованість територіальних громад, підтримку соціального та культурного розвитку жителів;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pBdr/>
        <w:shd w:val="clear" w:color="auto" w:fill="ffffff"/>
        <w:spacing w:after="2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надання медичної та соціальної допомоги: надання медичних послуг, соціальної адаптації та психологічної підтримки жителям, які проживають на територіях сестринських громад;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pBdr/>
        <w:shd w:val="clear" w:color="auto" w:fill="ffffff"/>
        <w:spacing w:after="2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релокація суб’єктів господарювання: надання сприяння у переміщенні підприємств із громад-форпостів на інші території для збереження їх економічної активності;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pBdr/>
        <w:shd w:val="clear" w:color="auto" w:fill="ffffff"/>
        <w:spacing w:after="2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надання прямої фінансової допомоги у вигляді міжбюджетних трансфертів (в тому числі для забезпечення паливними матеріалами генераторів для пунктів незламності);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pBdr/>
        <w:shd w:val="clear" w:color="auto" w:fill="ffffff"/>
        <w:spacing w:after="2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створення безпечних умов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для дітей, які проживають на територіях громад-форпостів, включно з організацією освітніх, культурних та спортивних заходів, забезпечення їх доступу до освіти, психологічної підтримки, а також облаштування дитячих просторів у місцях тимчасового розміщення;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pBdr/>
        <w:shd w:val="clear" w:color="auto" w:fill="ffffff"/>
        <w:spacing w:after="2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надання психологічної підтримки: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організація роботи мобільних бригад психологів для допомоги жителям, які проживають на територіях громад-форпостів, в адаптації в нових умовах, зокрема внутрішньо переміщеним особам, дітям, особам похилого віку та особам, які зазнали травматичного досвіду;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pBdr/>
        <w:shd w:val="clear" w:color="auto" w:fill="ffffff"/>
        <w:spacing w:after="2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допомога у соціалізації: працевлаштування, влаштування дітей до закладів освіти, інформування про інфраструктуру та можливості приймаючої територіальної громади тощо;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pBdr/>
        <w:shd w:val="clear" w:color="auto" w:fill="ffffff"/>
        <w:spacing w:after="2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організація спортивних заходів: проведення спо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ртивних змагань між територіальними громадами, відновлення спортивних секцій, створення умов для зайняття спортом для всіх жителів, які проживають на територіях громад-форпостів; організація оздоровлення дітей, які проживають на території громади-форпосту;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pBdr/>
        <w:shd w:val="clear" w:color="auto" w:fill="ffffff"/>
        <w:spacing w:after="2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інші форми підтримки, не заборонені законодавством.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hanging="360" w:left="128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Порядок набрання чинності меморандумом або внесення змін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/>
      <w:bookmarkStart w:id="1" w:name="_heading=h.4hzqsvlc8yfi"/>
      <w:r/>
      <w:bookmarkEnd w:id="1"/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Цей меморандум набирає чинності з дня його підписання, діє до 1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березня 2027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та може бути припинений за взаємною згодою Сторін або за ініціативи однієї зі Сторін за умови попередження іншої Сторони не пізніше ніж за один місяць.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Зміни або доповнення до цього меморандуму оформляються шляхом укладення додаткового меморандуму, який є невід’ємною частиною цього меморандуму.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hanging="360" w:left="128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Припинення дії меморандуму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 w:left="927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" w:before="2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Дія цього меморандуму припиняється у разі: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before="20" w:line="240" w:lineRule="auto"/>
        <w:ind w:hanging="360"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закінчення строку його дії;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hanging="360"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досягнення цілей співпраці;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hanging="360"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відсутності роботи з надання/отримання допомоги протягом року з дня набрання чинності цим меморандумом (угодою);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" w:line="240" w:lineRule="auto"/>
        <w:ind w:hanging="360"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закінчення строку дії експериментального проекту.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" w:before="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Припинення надання допомоги здійснюється за згодою сторін у порядку, визначеному законодавством України.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" w:before="2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hanging="360" w:left="128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Фінансування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 w:left="927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Фінансування реалізації заходів у рамках цього меморандуму здійснюється за рахунок та в межах бюджетних ресурсів сторін, інших джерел фінансування, не заборонених законодавством України.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 w:left="927"/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hanging="360" w:left="128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Відповідальність сторін та порядок розв’язання спорів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 w:left="927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Сторони вживають всіх заходів до вирішення спорів, що виникають між сторонами з приводу виконання умов цього меморандуму або пов’язані із ним, шляхом переговорів.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Сторони несуть відповідальність одна перед одною згідно із законодавством України.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Сторони визнають, що цей меморандум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кладено під час військової агресії російської федерації проти України, що стало підставою введення воєнного стану з 05 год. 30 хв. 24 лютого 2022 р. відповідно до Указу Президента України від 24 лютого 2022 р. № 64 «Про введення воєнного стану в Україні».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Сторони вправі посилатися на нові події та обставини, що не існували на час укладення меморандуму, не залежать від їх волі, обумовлені військовою агресією російської федерації і впливають на виконання меморандуму.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hanging="360" w:left="128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Звітування про результати діяльності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 w:left="927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Звіт про хід та результати досягнення мети цього меморандуму подається громадою-форпостом до Міністерства розвитку громад та територій України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представником якої є начальник відділу міжнародного співробітництва та економічного розвитку Менської міської ради Скороход Сергій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</w:t>
        <w:br/>
        <w:t xml:space="preserve">Представником партнерської громади для здійснення комунікації щодо виконання умов цього меморандуму, тощо, є завідувач сектором інформаційної діяльності та комунікацій з громадськістю виконавчого комітету Миронівської міської ради Мосорук Анна.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hanging="360" w:left="128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Прикінцеві положення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 w:left="927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Усі правовідносини, що виникають у зв’язку з виконанням цього меморандуму і не врегульовані ним, регулюються нормами законодавства України.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Цей Меморандум укладено на 4-х аркушах у кількості двох примірників по одному для кожної зі Сторін, що мають однакову юридичну силу.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360" w:left="128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h="16838" w:orient="portrait" w:w="11906"/>
          <w:pgMar w:top="977" w:right="850" w:bottom="850" w:left="1700" w:header="283" w:footer="708" w:gutter="0"/>
          <w:pgNumType w:start="1"/>
          <w:cols w:num="1" w:sep="0" w:space="1701" w:equalWidth="1"/>
          <w:titlePg/>
        </w:sect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Юридичні адреси, та підписи сторін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Партнерська громада: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Миронівська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Юридична адреса: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08801, Київська область,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м.Миронівка, вул.Соборності,48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код ЄДРПОУ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  <w:rtl w:val="0"/>
        </w:rPr>
        <w:t xml:space="preserve">04054984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Миронівський міський голова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__________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Віталій САВЕНКО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Громада-форпост: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Юридична адреса: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15600, Чернігівська область,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м.Мена, вул. Героїв АТО, 6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код ЄДРПОУ 04061777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Секретар Менської міської ради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  <w:sectPr>
          <w:footnotePr/>
          <w:endnotePr/>
          <w:type w:val="continuous"/>
          <w:pgSz w:h="16838" w:orient="portrait" w:w="11906"/>
          <w:pgMar w:top="850" w:right="707" w:bottom="850" w:left="1701" w:header="708" w:footer="708" w:gutter="0"/>
          <w:cols w:num="2" w:sep="0" w:space="1701" w:equalWidth="0">
            <w:col w:w="4394" w:space="708"/>
            <w:col w:w="4394" w:space="0"/>
          </w:cols>
        </w:sect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________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Юрій СТАЛЬНИЧЕНКО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 w:left="927"/>
        <w:jc w:val="both"/>
        <w:rPr>
          <w:color w:val="000000"/>
        </w:rPr>
      </w:pPr>
      <w:r>
        <w:rPr>
          <w:rtl w:val="0"/>
        </w:rPr>
      </w:r>
      <w:r>
        <w:rPr>
          <w:color w:val="000000"/>
        </w:rPr>
      </w:r>
      <w:r>
        <w:rPr>
          <w:color w:val="000000"/>
        </w:rPr>
      </w:r>
    </w:p>
    <w:sectPr>
      <w:footnotePr/>
      <w:endnotePr/>
      <w:type w:val="continuous"/>
      <w:pgSz w:h="16838" w:orient="portrait" w:w="11906"/>
      <w:pgMar w:top="850" w:right="850" w:bottom="850" w:left="1417" w:header="708" w:footer="708" w:gutter="0"/>
      <w:cols w:num="2" w:sep="0" w:space="1701" w:equalWidth="0">
        <w:col w:w="4465" w:space="708"/>
        <w:col w:w="446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pBdr/>
      <w:spacing/>
      <w:ind/>
      <w:jc w:val="right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  <w:t xml:space="preserve">                                            продовження додатка</w:t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92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pBdr/>
      <w:spacing/>
      <w:ind w:right="0" w:firstLine="0" w:left="5669"/>
      <w:rPr>
        <w:rFonts w:ascii="Times New Roman" w:hAnsi="Times New Roman" w:cs="Times New Roman"/>
        <w:sz w:val="24"/>
        <w:szCs w:val="24"/>
        <w:highlight w:val="none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Додаток</w:t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  <w:highlight w:val="none"/>
      </w:rPr>
    </w:r>
  </w:p>
  <w:p>
    <w:pPr>
      <w:pStyle w:val="921"/>
      <w:pBdr/>
      <w:spacing/>
      <w:ind w:right="0" w:firstLine="0" w:left="5669"/>
      <w:rPr>
        <w:rFonts w:ascii="Times New Roman" w:hAnsi="Times New Roman" w:cs="Times New Roman"/>
        <w:sz w:val="24"/>
        <w:szCs w:val="24"/>
        <w:highlight w:val="none"/>
      </w:rPr>
    </w:pPr>
    <w:r>
      <w:rPr>
        <w:rFonts w:ascii="Times New Roman" w:hAnsi="Times New Roman" w:eastAsia="Times New Roman" w:cs="Times New Roman"/>
        <w:sz w:val="24"/>
        <w:szCs w:val="24"/>
        <w:highlight w:val="none"/>
      </w:rPr>
      <w:t xml:space="preserve">до рішення 70 сесії Менської</w:t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  <w:highlight w:val="none"/>
      </w:rPr>
    </w:r>
  </w:p>
  <w:p>
    <w:pPr>
      <w:pStyle w:val="921"/>
      <w:pBdr/>
      <w:spacing/>
      <w:ind w:right="0" w:firstLine="0" w:left="5669"/>
      <w:rPr>
        <w:rFonts w:ascii="Times New Roman" w:hAnsi="Times New Roman" w:cs="Times New Roman"/>
        <w:sz w:val="24"/>
        <w:szCs w:val="24"/>
        <w:highlight w:val="none"/>
      </w:rPr>
    </w:pPr>
    <w:r>
      <w:rPr>
        <w:rFonts w:ascii="Times New Roman" w:hAnsi="Times New Roman" w:eastAsia="Times New Roman" w:cs="Times New Roman"/>
        <w:sz w:val="24"/>
        <w:szCs w:val="24"/>
        <w:highlight w:val="none"/>
      </w:rPr>
      <w:t xml:space="preserve">міської ради 8 скликання</w:t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  <w:highlight w:val="none"/>
      </w:rPr>
    </w:r>
  </w:p>
  <w:p>
    <w:pPr>
      <w:pStyle w:val="921"/>
      <w:pBdr/>
      <w:spacing/>
      <w:ind w:right="0" w:firstLine="0" w:left="5669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highlight w:val="none"/>
      </w:rPr>
      <w:t xml:space="preserve">19 лютого 2026 року № </w:t>
    </w:r>
    <w:r>
      <w:rPr>
        <w:rFonts w:ascii="Times New Roman" w:hAnsi="Times New Roman" w:eastAsia="Times New Roman" w:cs="Times New Roman"/>
        <w:sz w:val="24"/>
        <w:szCs w:val="24"/>
        <w:highlight w:val="none"/>
      </w:rPr>
    </w:r>
    <w:r>
      <w:rPr>
        <w:rFonts w:ascii="Times New Roman" w:hAnsi="Times New Roman" w:cs="Times New Roman"/>
        <w:sz w:val="24"/>
        <w:szCs w:val="24"/>
      </w:rPr>
      <w:t xml:space="preserve">88</w:t>
    </w:r>
    <w:r>
      <w:rPr>
        <w:rFonts w:ascii="Times New Roman" w:hAnsi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b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" w:eastAsia="zh-CN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8">
    <w:name w:val="Table Grid"/>
    <w:basedOn w:val="9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 Light"/>
    <w:basedOn w:val="9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1"/>
    <w:basedOn w:val="9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9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1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2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3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4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5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6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1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2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3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4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5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6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1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2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3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4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5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6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Heading 7"/>
    <w:basedOn w:val="946"/>
    <w:next w:val="946"/>
    <w:link w:val="9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5">
    <w:name w:val="Heading 8"/>
    <w:basedOn w:val="946"/>
    <w:next w:val="946"/>
    <w:link w:val="90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6">
    <w:name w:val="Heading 9"/>
    <w:basedOn w:val="946"/>
    <w:next w:val="946"/>
    <w:link w:val="90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7">
    <w:name w:val="Heading 1 Char"/>
    <w:basedOn w:val="954"/>
    <w:link w:val="9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8">
    <w:name w:val="Heading 2 Char"/>
    <w:basedOn w:val="954"/>
    <w:link w:val="9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9">
    <w:name w:val="Heading 3 Char"/>
    <w:basedOn w:val="954"/>
    <w:link w:val="9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0">
    <w:name w:val="Heading 4 Char"/>
    <w:basedOn w:val="954"/>
    <w:link w:val="95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1">
    <w:name w:val="Heading 5 Char"/>
    <w:basedOn w:val="954"/>
    <w:link w:val="9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2">
    <w:name w:val="Heading 6 Char"/>
    <w:basedOn w:val="954"/>
    <w:link w:val="95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3">
    <w:name w:val="Heading 7 Char"/>
    <w:basedOn w:val="954"/>
    <w:link w:val="89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4">
    <w:name w:val="Heading 8 Char"/>
    <w:basedOn w:val="954"/>
    <w:link w:val="8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5">
    <w:name w:val="Heading 9 Char"/>
    <w:basedOn w:val="954"/>
    <w:link w:val="8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6">
    <w:name w:val="Title Char"/>
    <w:basedOn w:val="954"/>
    <w:link w:val="9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07">
    <w:name w:val="Subtitle Char"/>
    <w:basedOn w:val="954"/>
    <w:link w:val="9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8">
    <w:name w:val="Quote"/>
    <w:basedOn w:val="946"/>
    <w:next w:val="946"/>
    <w:link w:val="90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9">
    <w:name w:val="Quote Char"/>
    <w:basedOn w:val="954"/>
    <w:link w:val="90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0">
    <w:name w:val="List Paragraph"/>
    <w:basedOn w:val="946"/>
    <w:uiPriority w:val="34"/>
    <w:qFormat/>
    <w:pPr>
      <w:pBdr/>
      <w:spacing/>
      <w:ind w:left="720"/>
      <w:contextualSpacing w:val="true"/>
    </w:pPr>
  </w:style>
  <w:style w:type="character" w:styleId="911">
    <w:name w:val="Intense Emphasis"/>
    <w:basedOn w:val="95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2">
    <w:name w:val="Intense Quote"/>
    <w:basedOn w:val="946"/>
    <w:next w:val="946"/>
    <w:link w:val="91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3">
    <w:name w:val="Intense Quote Char"/>
    <w:basedOn w:val="954"/>
    <w:link w:val="91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4">
    <w:name w:val="Intense Reference"/>
    <w:basedOn w:val="95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5">
    <w:name w:val="No Spacing"/>
    <w:basedOn w:val="946"/>
    <w:uiPriority w:val="1"/>
    <w:qFormat/>
    <w:pPr>
      <w:pBdr/>
      <w:spacing w:after="0" w:line="240" w:lineRule="auto"/>
      <w:ind/>
    </w:pPr>
  </w:style>
  <w:style w:type="character" w:styleId="916">
    <w:name w:val="Subtle Emphasis"/>
    <w:basedOn w:val="95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7">
    <w:name w:val="Emphasis"/>
    <w:basedOn w:val="954"/>
    <w:uiPriority w:val="20"/>
    <w:qFormat/>
    <w:pPr>
      <w:pBdr/>
      <w:spacing/>
      <w:ind/>
    </w:pPr>
    <w:rPr>
      <w:i/>
      <w:iCs/>
    </w:rPr>
  </w:style>
  <w:style w:type="character" w:styleId="918">
    <w:name w:val="Strong"/>
    <w:basedOn w:val="954"/>
    <w:uiPriority w:val="22"/>
    <w:qFormat/>
    <w:pPr>
      <w:pBdr/>
      <w:spacing/>
      <w:ind/>
    </w:pPr>
    <w:rPr>
      <w:b/>
      <w:bCs/>
    </w:rPr>
  </w:style>
  <w:style w:type="character" w:styleId="919">
    <w:name w:val="Subtle Reference"/>
    <w:basedOn w:val="95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0">
    <w:name w:val="Book Title"/>
    <w:basedOn w:val="95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1">
    <w:name w:val="Header"/>
    <w:basedOn w:val="946"/>
    <w:link w:val="9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2">
    <w:name w:val="Header Char"/>
    <w:basedOn w:val="954"/>
    <w:link w:val="921"/>
    <w:uiPriority w:val="99"/>
    <w:pPr>
      <w:pBdr/>
      <w:spacing/>
      <w:ind/>
    </w:pPr>
  </w:style>
  <w:style w:type="paragraph" w:styleId="923">
    <w:name w:val="Footer"/>
    <w:basedOn w:val="946"/>
    <w:link w:val="92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4">
    <w:name w:val="Footer Char"/>
    <w:basedOn w:val="954"/>
    <w:link w:val="923"/>
    <w:uiPriority w:val="99"/>
    <w:pPr>
      <w:pBdr/>
      <w:spacing/>
      <w:ind/>
    </w:pPr>
  </w:style>
  <w:style w:type="paragraph" w:styleId="925">
    <w:name w:val="Caption"/>
    <w:basedOn w:val="946"/>
    <w:next w:val="94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6">
    <w:name w:val="footnote text"/>
    <w:basedOn w:val="946"/>
    <w:link w:val="9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7">
    <w:name w:val="Footnote Text Char"/>
    <w:basedOn w:val="954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928">
    <w:name w:val="footnote reference"/>
    <w:basedOn w:val="954"/>
    <w:uiPriority w:val="99"/>
    <w:semiHidden/>
    <w:unhideWhenUsed/>
    <w:pPr>
      <w:pBdr/>
      <w:spacing/>
      <w:ind/>
    </w:pPr>
    <w:rPr>
      <w:vertAlign w:val="superscript"/>
    </w:rPr>
  </w:style>
  <w:style w:type="paragraph" w:styleId="929">
    <w:name w:val="endnote text"/>
    <w:basedOn w:val="946"/>
    <w:link w:val="9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0">
    <w:name w:val="Endnote Text Char"/>
    <w:basedOn w:val="954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931">
    <w:name w:val="endnote reference"/>
    <w:basedOn w:val="954"/>
    <w:uiPriority w:val="99"/>
    <w:semiHidden/>
    <w:unhideWhenUsed/>
    <w:pPr>
      <w:pBdr/>
      <w:spacing/>
      <w:ind/>
    </w:pPr>
    <w:rPr>
      <w:vertAlign w:val="superscript"/>
    </w:rPr>
  </w:style>
  <w:style w:type="character" w:styleId="932">
    <w:name w:val="Hyperlink"/>
    <w:basedOn w:val="95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3">
    <w:name w:val="FollowedHyperlink"/>
    <w:basedOn w:val="95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4">
    <w:name w:val="toc 1"/>
    <w:basedOn w:val="946"/>
    <w:next w:val="946"/>
    <w:uiPriority w:val="39"/>
    <w:unhideWhenUsed/>
    <w:pPr>
      <w:pBdr/>
      <w:spacing w:after="100"/>
      <w:ind/>
    </w:pPr>
  </w:style>
  <w:style w:type="paragraph" w:styleId="935">
    <w:name w:val="toc 2"/>
    <w:basedOn w:val="946"/>
    <w:next w:val="946"/>
    <w:uiPriority w:val="39"/>
    <w:unhideWhenUsed/>
    <w:pPr>
      <w:pBdr/>
      <w:spacing w:after="100"/>
      <w:ind w:left="220"/>
    </w:pPr>
  </w:style>
  <w:style w:type="paragraph" w:styleId="936">
    <w:name w:val="toc 3"/>
    <w:basedOn w:val="946"/>
    <w:next w:val="946"/>
    <w:uiPriority w:val="39"/>
    <w:unhideWhenUsed/>
    <w:pPr>
      <w:pBdr/>
      <w:spacing w:after="100"/>
      <w:ind w:left="440"/>
    </w:pPr>
  </w:style>
  <w:style w:type="paragraph" w:styleId="937">
    <w:name w:val="toc 4"/>
    <w:basedOn w:val="946"/>
    <w:next w:val="946"/>
    <w:uiPriority w:val="39"/>
    <w:unhideWhenUsed/>
    <w:pPr>
      <w:pBdr/>
      <w:spacing w:after="100"/>
      <w:ind w:left="660"/>
    </w:pPr>
  </w:style>
  <w:style w:type="paragraph" w:styleId="938">
    <w:name w:val="toc 5"/>
    <w:basedOn w:val="946"/>
    <w:next w:val="946"/>
    <w:uiPriority w:val="39"/>
    <w:unhideWhenUsed/>
    <w:pPr>
      <w:pBdr/>
      <w:spacing w:after="100"/>
      <w:ind w:left="880"/>
    </w:pPr>
  </w:style>
  <w:style w:type="paragraph" w:styleId="939">
    <w:name w:val="toc 6"/>
    <w:basedOn w:val="946"/>
    <w:next w:val="946"/>
    <w:uiPriority w:val="39"/>
    <w:unhideWhenUsed/>
    <w:pPr>
      <w:pBdr/>
      <w:spacing w:after="100"/>
      <w:ind w:left="1100"/>
    </w:pPr>
  </w:style>
  <w:style w:type="paragraph" w:styleId="940">
    <w:name w:val="toc 7"/>
    <w:basedOn w:val="946"/>
    <w:next w:val="946"/>
    <w:uiPriority w:val="39"/>
    <w:unhideWhenUsed/>
    <w:pPr>
      <w:pBdr/>
      <w:spacing w:after="100"/>
      <w:ind w:left="1320"/>
    </w:pPr>
  </w:style>
  <w:style w:type="paragraph" w:styleId="941">
    <w:name w:val="toc 8"/>
    <w:basedOn w:val="946"/>
    <w:next w:val="946"/>
    <w:uiPriority w:val="39"/>
    <w:unhideWhenUsed/>
    <w:pPr>
      <w:pBdr/>
      <w:spacing w:after="100"/>
      <w:ind w:left="1540"/>
    </w:pPr>
  </w:style>
  <w:style w:type="paragraph" w:styleId="942">
    <w:name w:val="toc 9"/>
    <w:basedOn w:val="946"/>
    <w:next w:val="946"/>
    <w:uiPriority w:val="39"/>
    <w:unhideWhenUsed/>
    <w:pPr>
      <w:pBdr/>
      <w:spacing w:after="100"/>
      <w:ind w:left="1760"/>
    </w:pPr>
  </w:style>
  <w:style w:type="character" w:styleId="943">
    <w:name w:val="Placeholder Text"/>
    <w:basedOn w:val="954"/>
    <w:uiPriority w:val="99"/>
    <w:semiHidden/>
    <w:pPr>
      <w:pBdr/>
      <w:spacing/>
      <w:ind/>
    </w:pPr>
    <w:rPr>
      <w:color w:val="666666"/>
    </w:rPr>
  </w:style>
  <w:style w:type="paragraph" w:styleId="944">
    <w:name w:val="TOC Heading"/>
    <w:uiPriority w:val="39"/>
    <w:unhideWhenUsed/>
    <w:pPr>
      <w:pBdr/>
      <w:spacing/>
      <w:ind/>
    </w:pPr>
  </w:style>
  <w:style w:type="paragraph" w:styleId="945">
    <w:name w:val="table of figures"/>
    <w:basedOn w:val="946"/>
    <w:next w:val="946"/>
    <w:uiPriority w:val="99"/>
    <w:unhideWhenUsed/>
    <w:pPr>
      <w:pBdr/>
      <w:spacing w:after="0" w:afterAutospacing="0"/>
      <w:ind/>
    </w:pPr>
  </w:style>
  <w:style w:type="paragraph" w:styleId="946" w:default="1">
    <w:name w:val="Normal"/>
    <w:pPr>
      <w:pBdr/>
      <w:spacing/>
      <w:ind/>
    </w:pPr>
  </w:style>
  <w:style w:type="paragraph" w:styleId="947">
    <w:name w:val="Heading 1"/>
    <w:basedOn w:val="946"/>
    <w:next w:val="946"/>
    <w:pPr>
      <w:keepNext w:val="true"/>
      <w:keepLines w:val="true"/>
      <w:pBdr/>
      <w:spacing w:after="80" w:before="360"/>
      <w:ind/>
    </w:pPr>
    <w:rPr>
      <w:color w:val="2f5496"/>
      <w:sz w:val="40"/>
      <w:szCs w:val="40"/>
    </w:rPr>
  </w:style>
  <w:style w:type="paragraph" w:styleId="948">
    <w:name w:val="Heading 2"/>
    <w:basedOn w:val="946"/>
    <w:next w:val="946"/>
    <w:pPr>
      <w:keepNext w:val="true"/>
      <w:keepLines w:val="true"/>
      <w:pBdr/>
      <w:spacing w:after="80" w:before="160"/>
      <w:ind/>
    </w:pPr>
    <w:rPr>
      <w:color w:val="2f5496"/>
      <w:sz w:val="32"/>
      <w:szCs w:val="32"/>
    </w:rPr>
  </w:style>
  <w:style w:type="paragraph" w:styleId="949">
    <w:name w:val="Heading 3"/>
    <w:basedOn w:val="946"/>
    <w:next w:val="946"/>
    <w:pPr>
      <w:keepNext w:val="true"/>
      <w:keepLines w:val="true"/>
      <w:pBdr/>
      <w:spacing w:after="80" w:before="160"/>
      <w:ind/>
    </w:pPr>
    <w:rPr>
      <w:color w:val="2f5496"/>
      <w:sz w:val="28"/>
      <w:szCs w:val="28"/>
    </w:rPr>
  </w:style>
  <w:style w:type="paragraph" w:styleId="950">
    <w:name w:val="Heading 4"/>
    <w:basedOn w:val="946"/>
    <w:next w:val="946"/>
    <w:pPr>
      <w:keepNext w:val="true"/>
      <w:keepLines w:val="true"/>
      <w:pBdr/>
      <w:spacing w:after="40" w:before="80"/>
      <w:ind/>
    </w:pPr>
    <w:rPr>
      <w:i/>
      <w:iCs/>
      <w:color w:val="2f5496"/>
    </w:rPr>
  </w:style>
  <w:style w:type="paragraph" w:styleId="951">
    <w:name w:val="Heading 5"/>
    <w:basedOn w:val="946"/>
    <w:next w:val="946"/>
    <w:pPr>
      <w:keepNext w:val="true"/>
      <w:keepLines w:val="true"/>
      <w:pBdr/>
      <w:spacing w:after="40" w:before="80"/>
      <w:ind/>
    </w:pPr>
    <w:rPr>
      <w:color w:val="2f5496"/>
    </w:rPr>
  </w:style>
  <w:style w:type="paragraph" w:styleId="952">
    <w:name w:val="Heading 6"/>
    <w:basedOn w:val="946"/>
    <w:next w:val="946"/>
    <w:pPr>
      <w:keepNext w:val="true"/>
      <w:keepLines w:val="true"/>
      <w:pBdr/>
      <w:spacing w:after="0" w:before="40"/>
      <w:ind/>
    </w:pPr>
    <w:rPr>
      <w:i/>
      <w:iCs/>
      <w:color w:val="595959"/>
    </w:rPr>
  </w:style>
  <w:style w:type="paragraph" w:styleId="953">
    <w:name w:val="Title"/>
    <w:basedOn w:val="946"/>
    <w:next w:val="946"/>
    <w:pPr>
      <w:pBdr/>
      <w:spacing w:after="80" w:line="240" w:lineRule="auto"/>
      <w:ind/>
    </w:pPr>
    <w:rPr>
      <w:sz w:val="56"/>
      <w:szCs w:val="56"/>
    </w:rPr>
  </w:style>
  <w:style w:type="character" w:styleId="954" w:default="1">
    <w:name w:val="Default Paragraph Font"/>
    <w:uiPriority w:val="1"/>
    <w:semiHidden/>
    <w:unhideWhenUsed/>
    <w:pPr>
      <w:pBdr/>
      <w:spacing/>
      <w:ind/>
    </w:pPr>
  </w:style>
  <w:style w:type="table" w:styleId="95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6" w:default="1">
    <w:name w:val="No List"/>
    <w:uiPriority w:val="99"/>
    <w:semiHidden/>
    <w:unhideWhenUsed/>
    <w:pPr>
      <w:pBdr/>
      <w:spacing/>
      <w:ind/>
    </w:pPr>
  </w:style>
  <w:style w:type="table" w:styleId="957" w:customStyle="1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8">
    <w:name w:val="Subtitle"/>
    <w:basedOn w:val="946"/>
    <w:next w:val="946"/>
    <w:pPr>
      <w:pBdr/>
      <w:spacing/>
      <w:ind/>
    </w:pPr>
    <w:rPr>
      <w:color w:val="595959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7JxF0nPrpcGiCo6ZBYKpoUmiQw==">CgMxLjAyDmguM2M4Z2xtbjQybnUxMg5oLjRoenFzdmxjOHlmaTgAciExMkdkN2NUTDh0WWhYSEU5RTZWb0VESy1DdXdvZUw5bGM=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 С.В.</dc:creator>
  <cp:lastModifiedBy>Карпенко Тетяна Володимирівна</cp:lastModifiedBy>
  <cp:revision>3</cp:revision>
  <dcterms:created xsi:type="dcterms:W3CDTF">2026-01-30T09:06:00Z</dcterms:created>
  <dcterms:modified xsi:type="dcterms:W3CDTF">2026-02-24T06:05:13Z</dcterms:modified>
</cp:coreProperties>
</file>