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12472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12472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 рішення 70 сесії Менської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міської</w:t>
      </w:r>
      <w:r>
        <w:rPr>
          <w:rFonts w:ascii="Calibri" w:hAnsi="Calibri" w:eastAsia="Calibri" w:cs="Calibri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ради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12472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 скликання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12472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 лютого 2026 року № 92</w:t>
      </w:r>
      <w:r>
        <w:rPr>
          <w:rFonts w:ascii="Calibri" w:hAnsi="Calibri" w:eastAsia="Calibri" w:cs="Calibri"/>
          <w:sz w:val="22"/>
        </w:rPr>
      </w:r>
      <w:r/>
    </w:p>
    <w:tbl>
      <w:tblPr>
        <w:tblStyle w:val="711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454"/>
        <w:gridCol w:w="3407"/>
        <w:gridCol w:w="684"/>
        <w:gridCol w:w="1625"/>
        <w:gridCol w:w="1486"/>
        <w:gridCol w:w="562"/>
        <w:gridCol w:w="590"/>
        <w:gridCol w:w="590"/>
        <w:gridCol w:w="591"/>
        <w:gridCol w:w="2818"/>
      </w:tblGrid>
      <w:tr>
        <w:trPr>
          <w:trHeight w:val="48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2.5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Забезпечення функціонування офіційного вебсайту, та порталу відкритих даних в домені menarada.gov.ua, розробка мобільного додатку/ чат-боту та інклюзивності сервісів,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</w:rPr>
              <w:t xml:space="preserve">забезпечення резервного збереження, обробки та захисту даних 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Технічна підтримка, адміністрування офіційного вебсайту Менської міської ради,порталу відкритих даних на домені mena.cg.gov.ua та menarada.gov.ua.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</w:rPr>
              <w:t xml:space="preserve">Отримання послуг з хостингу власних інформаційних ресурсів,  доменних імен та корпоративної пошти, їх технічної підтримки, послуг з обробки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та  зберігання даних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</w:rPr>
              <w:t xml:space="preserve">Закупівля та оновлення  SSL сертифікатів достовірності домену з підтримкою субдоменів (WildCard SSL Certificates) або аналогів.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tabs>
                <w:tab w:val="left" w:leader="none" w:pos="993"/>
                <w:tab w:val="left" w:leader="none" w:pos="1962"/>
              </w:tabs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Розробка мобільного додатку “Менська громада” з сервісами для публічних послуг для різних категорій стейкхолдерів. Забезпечення інклюзивності сервісів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2025-2027 роки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Відділ бухгалтерського обліку та, звітності, відділ цифрових трансформацій та кіберзахисту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Бюджет Менської міської територіальної громади/ інші джерела незаборонені законом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150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150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150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450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Забезпечення своєчасною достовірною інформацією жителів громади, забезпечення сталого інформаційно-комунікаційного зв’язку апарату ВК з метою оперативного прийняття управлінських рішень.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</w:rPr>
              <w:t xml:space="preserve">Забезпечення достовірності домену та субдоменів menarada.gov.ua або інших,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</w:rPr>
              <w:t xml:space="preserve"> резервного збереження, обробки та захисту даних, цілодобового доступу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</w:rPr>
              <w:t xml:space="preserve">.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</w:rPr>
              <w:t xml:space="preserve">Розвиток "Платформа СВОЇ" для забезпечення реагування  на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ажливі для громадян суспільні питання. Розробка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</w:rPr>
              <w:t xml:space="preserve">та адміністрування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мобільного додатку “Менська громада” з сервісами для публічних послуг для різних категорій стейкхолдерів. Забезпечення інклюзивності сервісів. 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 відділу цифрових трансформацій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кіберзахисту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                          Володимир КОРДАШ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8"/>
      <w:footnotePr/>
      <w:endnotePr/>
      <w:type w:val="nextPage"/>
      <w:pgSz w:h="11906" w:orient="landscape" w:w="16838"/>
      <w:pgMar w:top="1701" w:right="397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7"/>
    <w:next w:val="897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7"/>
    <w:next w:val="897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7"/>
    <w:next w:val="897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7"/>
    <w:next w:val="897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7"/>
    <w:next w:val="897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8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8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8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8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8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7"/>
    <w:next w:val="897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8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7"/>
    <w:next w:val="897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8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7"/>
    <w:next w:val="897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8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8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8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8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98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98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8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2026-02-24T13:42:38Z</dcterms:modified>
</cp:coreProperties>
</file>