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2"/>
        <w:pBdr/>
        <w:spacing/>
        <w:ind w:right="-141" w:firstLine="709" w:left="-142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82"/>
        <w:pBdr/>
        <w:spacing/>
        <w:ind w:right="-141" w:firstLine="709" w:left="-142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right="-141" w:firstLine="709" w:left="-142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right="-141" w:firstLine="709" w:left="-142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right="-141" w:firstLine="709" w:left="-142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-141" w:firstLine="0" w:left="-142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54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-141" w:firstLine="709" w:left="-142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spacing/>
        <w:ind w:right="-141" w:firstLine="0" w:left="-142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</w:t>
      </w:r>
      <w:r>
        <w:rPr>
          <w:b/>
          <w:color w:val="000000"/>
        </w:rPr>
        <w:t xml:space="preserve">загального фонду </w:t>
      </w:r>
      <w:r>
        <w:rPr>
          <w:b/>
          <w:color w:val="000000"/>
        </w:rPr>
        <w:t xml:space="preserve">бюджету Менської міської територіальної громади на 202</w:t>
      </w:r>
      <w:r>
        <w:rPr>
          <w:b/>
          <w:color w:val="000000"/>
        </w:rPr>
        <w:t xml:space="preserve">6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-141" w:firstLine="709" w:left="-142"/>
        <w:rPr>
          <w:b/>
          <w:bCs/>
          <w:color w:val="000000"/>
          <w:sz w:val="16"/>
          <w:szCs w:val="16"/>
        </w:rPr>
      </w:pPr>
      <w:r>
        <w:rPr>
          <w:b/>
          <w:color w:val="000000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/>
        <w:ind w:right="-141" w:firstLine="567" w:left="-142"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6</w:t>
      </w:r>
      <w:r>
        <w:t xml:space="preserve">8</w:t>
      </w:r>
      <w:r>
        <w:t xml:space="preserve"> сесії Менської міської ради 8 скликання від </w:t>
      </w:r>
      <w:r>
        <w:t xml:space="preserve">1</w:t>
      </w:r>
      <w:r>
        <w:t xml:space="preserve">8</w:t>
      </w:r>
      <w:r>
        <w:t xml:space="preserve"> грудня 202</w:t>
      </w:r>
      <w:r>
        <w:t xml:space="preserve">5</w:t>
      </w:r>
      <w:r>
        <w:t xml:space="preserve"> року № 7</w:t>
      </w:r>
      <w:r>
        <w:t xml:space="preserve">5</w:t>
      </w:r>
      <w:r>
        <w:t xml:space="preserve">5</w:t>
      </w:r>
      <w:r>
        <w:t xml:space="preserve"> «Про бюджет Менської міської територіальної громади на 202</w:t>
      </w:r>
      <w:r>
        <w:t xml:space="preserve">6</w:t>
      </w:r>
      <w:r>
        <w:t xml:space="preserve"> рік</w:t>
      </w:r>
      <w:r>
        <w:t xml:space="preserve"> (код бюджету 2551700000)</w:t>
      </w:r>
      <w:r>
        <w:t xml:space="preserve">»</w:t>
      </w:r>
      <w:r>
        <w:t xml:space="preserve"> та</w:t>
      </w:r>
      <w:r>
        <w:t xml:space="preserve"> звернен</w:t>
      </w:r>
      <w:r>
        <w:t xml:space="preserve">ня</w:t>
      </w:r>
      <w:r>
        <w:t xml:space="preserve"> головн</w:t>
      </w:r>
      <w:r>
        <w:t xml:space="preserve">ого</w:t>
      </w:r>
      <w:r>
        <w:t xml:space="preserve"> розпорядник</w:t>
      </w:r>
      <w:r>
        <w:t xml:space="preserve">а</w:t>
      </w:r>
      <w:r>
        <w:t xml:space="preserve"> бюджетних коштів:</w:t>
      </w:r>
      <w:r>
        <w:t xml:space="preserve"> </w:t>
      </w:r>
      <w:r/>
    </w:p>
    <w:p>
      <w:pPr>
        <w:pStyle w:val="881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szCs w:val="28"/>
        </w:rPr>
      </w:pPr>
      <w:r>
        <w:rPr>
          <w:lang w:eastAsia="uk-UA"/>
        </w:rPr>
        <w:t xml:space="preserve">Внести</w:t>
      </w:r>
      <w:r>
        <w:rPr>
          <w:lang w:eastAsia="uk-UA"/>
        </w:rPr>
        <w:t xml:space="preserve"> зміни до </w:t>
      </w:r>
      <w:r>
        <w:rPr>
          <w:lang w:eastAsia="uk-UA"/>
        </w:rPr>
        <w:t xml:space="preserve">помісячного розпису </w:t>
      </w:r>
      <w:r>
        <w:rPr>
          <w:lang w:eastAsia="uk-UA"/>
        </w:rPr>
        <w:t xml:space="preserve">видаткової частини бюджету Менської міської територіальної громади по Відділу освіти Менської міської ради</w:t>
      </w:r>
      <w:r>
        <w:rPr>
          <w:lang w:eastAsia="uk-UA"/>
        </w:rPr>
        <w:t xml:space="preserve">, а саме:</w:t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lang w:eastAsia="uk-UA"/>
        </w:rPr>
      </w:pPr>
      <w:r>
        <w:rPr>
          <w:lang w:eastAsia="uk-UA"/>
        </w:rPr>
        <w:t xml:space="preserve">-</w:t>
      </w:r>
      <w:r>
        <w:rPr>
          <w:lang w:eastAsia="uk-UA"/>
        </w:rPr>
        <w:t xml:space="preserve"> </w:t>
      </w:r>
      <w:r>
        <w:rPr>
          <w:lang w:eastAsia="uk-UA"/>
        </w:rPr>
        <w:t xml:space="preserve">з</w:t>
      </w:r>
      <w:r>
        <w:rPr>
          <w:lang w:eastAsia="uk-UA"/>
        </w:rPr>
        <w:t xml:space="preserve"> надання </w:t>
      </w:r>
      <w:r>
        <w:rPr>
          <w:lang w:eastAsia="uk-UA"/>
        </w:rPr>
        <w:t xml:space="preserve">дошкільної </w:t>
      </w:r>
      <w:r>
        <w:rPr>
          <w:lang w:eastAsia="uk-UA"/>
        </w:rPr>
        <w:t xml:space="preserve">освіти </w:t>
      </w:r>
      <w:r>
        <w:rPr>
          <w:lang w:eastAsia="uk-UA"/>
        </w:rPr>
        <w:t xml:space="preserve">на оплату інших енергоносіїв (крім комунальних)</w:t>
      </w:r>
      <w:r>
        <w:rPr>
          <w:lang w:eastAsia="uk-UA"/>
        </w:rPr>
        <w:t xml:space="preserve">, </w:t>
      </w:r>
      <w:r>
        <w:rPr>
          <w:lang w:eastAsia="uk-UA"/>
        </w:rPr>
        <w:t xml:space="preserve">зменшити видатки в жовтні місяці на суму</w:t>
      </w:r>
      <w:r>
        <w:rPr>
          <w:lang w:eastAsia="uk-UA"/>
        </w:rPr>
        <w:t xml:space="preserve"> 1000,00 грн, в листопаді місяці в сумі 2000,00 грн, в грудні місяці на суму 4000,00 грн, збільшити видаткову частину в лютому місяці на суму 7000,00 грн.</w:t>
      </w:r>
      <w:r>
        <w:rPr>
          <w:lang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szCs w:val="28"/>
        </w:rPr>
      </w:pPr>
      <w:r>
        <w:rPr>
          <w:szCs w:val="28"/>
        </w:rPr>
        <w:t xml:space="preserve">(КПКВКМБ 061101</w:t>
      </w:r>
      <w:r>
        <w:rPr>
          <w:szCs w:val="28"/>
        </w:rPr>
        <w:t xml:space="preserve">0</w:t>
      </w:r>
      <w:r>
        <w:rPr>
          <w:szCs w:val="28"/>
        </w:rPr>
        <w:t xml:space="preserve"> КЕКВ 2275)</w:t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lang w:eastAsia="uk-UA"/>
        </w:rPr>
      </w:pPr>
      <w:r>
        <w:rPr>
          <w:lang w:eastAsia="uk-UA"/>
        </w:rPr>
        <w:t xml:space="preserve">-</w:t>
      </w:r>
      <w:r>
        <w:rPr>
          <w:lang w:eastAsia="uk-UA"/>
        </w:rPr>
        <w:t xml:space="preserve"> на надання загальної середньої освіти закладами загальної середньої освіти за рахунок коштів місцевого бюджету</w:t>
      </w:r>
      <w:r>
        <w:rPr>
          <w:lang w:eastAsia="uk-UA"/>
        </w:rPr>
        <w:t xml:space="preserve"> в частині видатків на оплату інших енергоносіїв (крім комунальних)</w:t>
      </w:r>
      <w:r>
        <w:rPr>
          <w:lang w:eastAsia="uk-UA"/>
        </w:rPr>
        <w:t xml:space="preserve">,</w:t>
      </w:r>
      <w:r>
        <w:rPr>
          <w:lang w:eastAsia="uk-UA"/>
        </w:rPr>
        <w:t xml:space="preserve"> зменшити видатки в </w:t>
      </w:r>
      <w:r>
        <w:rPr>
          <w:lang w:eastAsia="uk-UA"/>
        </w:rPr>
        <w:t xml:space="preserve">квітні</w:t>
      </w:r>
      <w:r>
        <w:rPr>
          <w:lang w:eastAsia="uk-UA"/>
        </w:rPr>
        <w:t xml:space="preserve"> місяці на суму 1</w:t>
      </w:r>
      <w:r>
        <w:rPr>
          <w:lang w:eastAsia="uk-UA"/>
        </w:rPr>
        <w:t xml:space="preserve">2</w:t>
      </w:r>
      <w:r>
        <w:rPr>
          <w:lang w:eastAsia="uk-UA"/>
        </w:rPr>
        <w:t xml:space="preserve">000,00 грн, збільшити видаткову частину в лютому місяці на суму </w:t>
      </w:r>
      <w:r>
        <w:rPr>
          <w:lang w:eastAsia="uk-UA"/>
        </w:rPr>
        <w:t xml:space="preserve">12</w:t>
      </w:r>
      <w:r>
        <w:rPr>
          <w:lang w:eastAsia="uk-UA"/>
        </w:rPr>
        <w:t xml:space="preserve">000,00 грн.</w:t>
      </w:r>
      <w:r>
        <w:rPr>
          <w:lang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szCs w:val="28"/>
        </w:rPr>
      </w:pPr>
      <w:r>
        <w:rPr>
          <w:szCs w:val="28"/>
        </w:rPr>
        <w:t xml:space="preserve">(КПКВКМБ 0611021 КЕКВ 2275)</w:t>
      </w:r>
      <w:r>
        <w:rPr>
          <w:szCs w:val="28"/>
        </w:rPr>
      </w:r>
    </w:p>
    <w:p>
      <w:pPr>
        <w:pBdr/>
        <w:spacing/>
        <w:ind w:right="-141" w:firstLine="709" w:left="-142"/>
        <w:rPr>
          <w:lang w:eastAsia="uk-UA"/>
        </w:rPr>
      </w:pPr>
      <w:r>
        <w:rPr>
          <w:lang w:eastAsia="uk-UA"/>
        </w:rPr>
        <w:t xml:space="preserve">-</w:t>
      </w:r>
      <w:r>
        <w:rPr>
          <w:lang w:eastAsia="uk-UA"/>
        </w:rPr>
        <w:t xml:space="preserve"> на </w:t>
      </w:r>
      <w:r>
        <w:rPr>
          <w:lang w:eastAsia="uk-UA"/>
        </w:rPr>
        <w:t xml:space="preserve">р</w:t>
      </w:r>
      <w:r>
        <w:rPr>
          <w:lang w:eastAsia="uk-UA"/>
        </w:rPr>
        <w:t xml:space="preserve">озвиток здібностей у дітей та молоді з фізичної культури та спорту комунальними дитячо-юнацькими спортивними школами</w:t>
      </w:r>
      <w:r>
        <w:rPr>
          <w:lang w:eastAsia="uk-UA"/>
        </w:rPr>
        <w:t xml:space="preserve"> </w:t>
      </w:r>
      <w:r>
        <w:rPr>
          <w:lang w:eastAsia="uk-UA"/>
        </w:rPr>
        <w:t xml:space="preserve">в частині видатків на оплату інших енергоносіїв (крім комунальних), зменшити видатки в квітні місяці на суму </w:t>
      </w:r>
      <w:r>
        <w:rPr>
          <w:lang w:eastAsia="uk-UA"/>
        </w:rPr>
        <w:t xml:space="preserve">5</w:t>
      </w:r>
      <w:r>
        <w:rPr>
          <w:lang w:eastAsia="uk-UA"/>
        </w:rPr>
        <w:t xml:space="preserve">0,00 грн, збільшити видаткову частину в лютому місяці на суму </w:t>
      </w:r>
      <w:r>
        <w:rPr>
          <w:lang w:eastAsia="uk-UA"/>
        </w:rPr>
        <w:t xml:space="preserve">5</w:t>
      </w:r>
      <w:r>
        <w:rPr>
          <w:lang w:eastAsia="uk-UA"/>
        </w:rPr>
        <w:t xml:space="preserve">0,00 грн.</w:t>
      </w:r>
      <w:r>
        <w:rPr>
          <w:lang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szCs w:val="28"/>
        </w:rPr>
      </w:pPr>
      <w:r>
        <w:rPr>
          <w:szCs w:val="28"/>
        </w:rPr>
        <w:t xml:space="preserve">(КПКВКМБ 061</w:t>
      </w:r>
      <w:r>
        <w:rPr>
          <w:szCs w:val="28"/>
        </w:rPr>
        <w:t xml:space="preserve">503</w:t>
      </w:r>
      <w:r>
        <w:rPr>
          <w:szCs w:val="28"/>
        </w:rPr>
        <w:t xml:space="preserve">1 КЕКВ 2275)</w:t>
      </w:r>
      <w:r>
        <w:rPr>
          <w:szCs w:val="28"/>
        </w:rPr>
      </w:r>
    </w:p>
    <w:p>
      <w:pPr>
        <w:pStyle w:val="881"/>
        <w:numPr>
          <w:ilvl w:val="0"/>
          <w:numId w:val="4"/>
        </w:numPr>
        <w:pBdr/>
        <w:tabs>
          <w:tab w:val="clear" w:leader="none" w:pos="1134"/>
        </w:tabs>
        <w:spacing/>
        <w:ind w:right="-141" w:firstLine="709" w:left="-142"/>
        <w:rPr>
          <w:szCs w:val="28"/>
        </w:rPr>
      </w:pPr>
      <w:r>
        <w:rPr>
          <w:szCs w:val="28"/>
        </w:rPr>
        <w:t xml:space="preserve">Внести</w:t>
      </w:r>
      <w:r>
        <w:rPr>
          <w:szCs w:val="28"/>
        </w:rPr>
        <w:t xml:space="preserve"> зміни до розпису </w:t>
      </w:r>
      <w:r>
        <w:rPr>
          <w:szCs w:val="28"/>
        </w:rPr>
        <w:t xml:space="preserve">загального фонду</w:t>
      </w:r>
      <w:r>
        <w:rPr>
          <w:szCs w:val="28"/>
        </w:rPr>
        <w:t xml:space="preserve"> бюджету Менської міської територіальної громади по Відділу </w:t>
      </w:r>
      <w:r>
        <w:rPr>
          <w:szCs w:val="28"/>
        </w:rPr>
        <w:t xml:space="preserve">культури</w:t>
      </w:r>
      <w:r>
        <w:rPr>
          <w:szCs w:val="28"/>
        </w:rPr>
        <w:t xml:space="preserve"> Менської міської ради</w:t>
      </w:r>
      <w:r>
        <w:rPr>
          <w:szCs w:val="28"/>
        </w:rPr>
        <w:t xml:space="preserve"> на забезпечення діяльності бібліотек, а саме</w:t>
      </w:r>
      <w:r>
        <w:rPr>
          <w:szCs w:val="28"/>
        </w:rPr>
        <w:t xml:space="preserve">:</w:t>
      </w:r>
      <w:r>
        <w:t xml:space="preserve"> </w:t>
      </w:r>
      <w:r>
        <w:rPr>
          <w:szCs w:val="28"/>
        </w:rPr>
        <w:t xml:space="preserve">зменшити видат</w:t>
      </w:r>
      <w:r>
        <w:rPr>
          <w:szCs w:val="28"/>
        </w:rPr>
        <w:t xml:space="preserve">ки на п</w:t>
      </w:r>
      <w:r>
        <w:rPr>
          <w:szCs w:val="28"/>
        </w:rPr>
        <w:t xml:space="preserve">редмети, матеріали, обладнання та інвента</w:t>
      </w:r>
      <w:r>
        <w:rPr>
          <w:szCs w:val="28"/>
        </w:rPr>
        <w:t xml:space="preserve">р в сумі 35600,00 грн, збільшивши видаткову частину на п</w:t>
      </w:r>
      <w:r>
        <w:rPr>
          <w:szCs w:val="28"/>
        </w:rPr>
        <w:t xml:space="preserve">ридбання обладнання і предметів довгострокового користуванн</w:t>
      </w:r>
      <w:r>
        <w:rPr>
          <w:szCs w:val="28"/>
        </w:rPr>
        <w:t xml:space="preserve">я (для придбання зарядної станції)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81"/>
        <w:pBdr/>
        <w:tabs>
          <w:tab w:val="clear" w:leader="none" w:pos="1134"/>
        </w:tabs>
        <w:spacing/>
        <w:ind w:right="-141" w:firstLine="709" w:left="-142"/>
        <w:rPr>
          <w:szCs w:val="28"/>
        </w:rPr>
      </w:pPr>
      <w:r>
        <w:rPr>
          <w:szCs w:val="28"/>
        </w:rPr>
        <w:t xml:space="preserve">(КПКВКМБ 1014030 КЕКВ 2210-35600,00 грн, КЕКВ 3110+35600,00 грн)</w:t>
      </w:r>
      <w:r>
        <w:rPr>
          <w:szCs w:val="28"/>
        </w:rPr>
      </w:r>
    </w:p>
    <w:p>
      <w:pPr>
        <w:pStyle w:val="881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-141" w:firstLine="709" w:left="-142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color w:val="000000"/>
          <w:szCs w:val="28"/>
        </w:rPr>
        <w:t xml:space="preserve"> </w:t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right="-141" w:firstLine="709" w:left="-142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right="-141" w:firstLine="0" w:left="-142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3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36817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3643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nsid w:val="150E6F90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nsid w:val="15603E70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nsid w:val="69B80E8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F8B02AC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742449CF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6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712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713">
    <w:name w:val="Heading 1"/>
    <w:basedOn w:val="712"/>
    <w:next w:val="712"/>
    <w:link w:val="8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8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9">
    <w:name w:val="Heading 7"/>
    <w:basedOn w:val="712"/>
    <w:next w:val="712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0">
    <w:name w:val="Heading 8"/>
    <w:basedOn w:val="712"/>
    <w:next w:val="712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1">
    <w:name w:val="Heading 9"/>
    <w:basedOn w:val="712"/>
    <w:next w:val="712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>
    <w:name w:val="footnote reference"/>
    <w:basedOn w:val="722"/>
    <w:uiPriority w:val="99"/>
    <w:unhideWhenUsed/>
    <w:qFormat/>
    <w:pPr>
      <w:pBdr/>
      <w:spacing/>
      <w:ind/>
    </w:pPr>
    <w:rPr>
      <w:vertAlign w:val="superscript"/>
    </w:rPr>
  </w:style>
  <w:style w:type="character" w:styleId="726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727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728">
    <w:name w:val="Balloon Text"/>
    <w:basedOn w:val="712"/>
    <w:link w:val="91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729">
    <w:name w:val="endnote text"/>
    <w:basedOn w:val="712"/>
    <w:link w:val="784"/>
    <w:uiPriority w:val="99"/>
    <w:semiHidden/>
    <w:unhideWhenUsed/>
    <w:qFormat/>
    <w:pPr>
      <w:pBdr/>
      <w:spacing/>
      <w:ind/>
    </w:pPr>
    <w:rPr>
      <w:sz w:val="20"/>
    </w:rPr>
  </w:style>
  <w:style w:type="paragraph" w:styleId="730">
    <w:name w:val="Caption"/>
    <w:basedOn w:val="712"/>
    <w:next w:val="71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31">
    <w:name w:val="footnote text"/>
    <w:basedOn w:val="712"/>
    <w:link w:val="912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32">
    <w:name w:val="toc 8"/>
    <w:basedOn w:val="712"/>
    <w:next w:val="712"/>
    <w:uiPriority w:val="39"/>
    <w:unhideWhenUsed/>
    <w:pPr>
      <w:pBdr/>
      <w:spacing w:after="57"/>
      <w:ind w:firstLine="0" w:left="1984"/>
    </w:pPr>
  </w:style>
  <w:style w:type="paragraph" w:styleId="733">
    <w:name w:val="Header"/>
    <w:basedOn w:val="712"/>
    <w:link w:val="889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4">
    <w:name w:val="toc 9"/>
    <w:basedOn w:val="712"/>
    <w:next w:val="712"/>
    <w:uiPriority w:val="39"/>
    <w:unhideWhenUsed/>
    <w:pPr>
      <w:pBdr/>
      <w:spacing w:after="57"/>
      <w:ind w:firstLine="0" w:left="2268"/>
    </w:pPr>
  </w:style>
  <w:style w:type="paragraph" w:styleId="735">
    <w:name w:val="toc 7"/>
    <w:basedOn w:val="712"/>
    <w:next w:val="712"/>
    <w:uiPriority w:val="39"/>
    <w:unhideWhenUsed/>
    <w:pPr>
      <w:pBdr/>
      <w:spacing w:after="57"/>
      <w:ind w:firstLine="0" w:left="1701"/>
    </w:pPr>
  </w:style>
  <w:style w:type="paragraph" w:styleId="736">
    <w:name w:val="toc 1"/>
    <w:basedOn w:val="712"/>
    <w:next w:val="712"/>
    <w:uiPriority w:val="39"/>
    <w:unhideWhenUsed/>
    <w:qFormat/>
    <w:pPr>
      <w:pBdr/>
      <w:spacing w:after="57"/>
      <w:ind w:firstLine="0"/>
    </w:pPr>
  </w:style>
  <w:style w:type="paragraph" w:styleId="737">
    <w:name w:val="toc 6"/>
    <w:basedOn w:val="712"/>
    <w:next w:val="712"/>
    <w:uiPriority w:val="39"/>
    <w:unhideWhenUsed/>
    <w:qFormat/>
    <w:pPr>
      <w:pBdr/>
      <w:spacing w:after="57"/>
      <w:ind w:firstLine="0" w:left="1417"/>
    </w:pPr>
  </w:style>
  <w:style w:type="paragraph" w:styleId="738">
    <w:name w:val="table of figures"/>
    <w:basedOn w:val="712"/>
    <w:next w:val="712"/>
    <w:uiPriority w:val="99"/>
    <w:unhideWhenUsed/>
    <w:qFormat/>
    <w:pPr>
      <w:pBdr/>
      <w:spacing/>
      <w:ind/>
    </w:pPr>
  </w:style>
  <w:style w:type="paragraph" w:styleId="739">
    <w:name w:val="toc 3"/>
    <w:basedOn w:val="712"/>
    <w:next w:val="712"/>
    <w:uiPriority w:val="39"/>
    <w:unhideWhenUsed/>
    <w:qFormat/>
    <w:pPr>
      <w:pBdr/>
      <w:spacing w:after="57"/>
      <w:ind w:firstLine="0" w:left="567"/>
    </w:pPr>
  </w:style>
  <w:style w:type="paragraph" w:styleId="740">
    <w:name w:val="toc 2"/>
    <w:basedOn w:val="712"/>
    <w:next w:val="712"/>
    <w:uiPriority w:val="39"/>
    <w:unhideWhenUsed/>
    <w:pPr>
      <w:pBdr/>
      <w:spacing w:after="57"/>
      <w:ind w:firstLine="0" w:left="283"/>
    </w:pPr>
  </w:style>
  <w:style w:type="paragraph" w:styleId="741">
    <w:name w:val="toc 4"/>
    <w:basedOn w:val="712"/>
    <w:next w:val="712"/>
    <w:uiPriority w:val="39"/>
    <w:unhideWhenUsed/>
    <w:pPr>
      <w:pBdr/>
      <w:spacing w:after="57"/>
      <w:ind w:firstLine="0" w:left="850"/>
    </w:pPr>
  </w:style>
  <w:style w:type="paragraph" w:styleId="742">
    <w:name w:val="toc 5"/>
    <w:basedOn w:val="712"/>
    <w:next w:val="712"/>
    <w:uiPriority w:val="39"/>
    <w:unhideWhenUsed/>
    <w:pPr>
      <w:pBdr/>
      <w:spacing w:after="57"/>
      <w:ind w:firstLine="0" w:left="1134"/>
    </w:pPr>
  </w:style>
  <w:style w:type="paragraph" w:styleId="743">
    <w:name w:val="Title"/>
    <w:basedOn w:val="712"/>
    <w:next w:val="712"/>
    <w:link w:val="8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4">
    <w:name w:val="Footer"/>
    <w:basedOn w:val="712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5">
    <w:name w:val="Subtitle"/>
    <w:basedOn w:val="712"/>
    <w:next w:val="712"/>
    <w:link w:val="884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46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7" w:customStyle="1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22"/>
    <w:uiPriority w:val="10"/>
    <w:qFormat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22"/>
    <w:uiPriority w:val="11"/>
    <w:qFormat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qFormat/>
    <w:pPr>
      <w:pBdr/>
      <w:spacing/>
      <w:ind/>
    </w:pPr>
    <w:rPr>
      <w:i/>
    </w:rPr>
  </w:style>
  <w:style w:type="character" w:styleId="759" w:customStyle="1">
    <w:name w:val="Intense Quote Char"/>
    <w:uiPriority w:val="30"/>
    <w:qFormat/>
    <w:pPr>
      <w:pBdr/>
      <w:spacing/>
      <w:ind/>
    </w:pPr>
    <w:rPr>
      <w:i/>
    </w:rPr>
  </w:style>
  <w:style w:type="character" w:styleId="760" w:customStyle="1">
    <w:name w:val="Header Char"/>
    <w:basedOn w:val="722"/>
    <w:uiPriority w:val="99"/>
    <w:qFormat/>
    <w:pPr>
      <w:pBdr/>
      <w:spacing/>
      <w:ind/>
    </w:pPr>
  </w:style>
  <w:style w:type="character" w:styleId="761" w:customStyle="1">
    <w:name w:val="Footer Char"/>
    <w:basedOn w:val="722"/>
    <w:uiPriority w:val="99"/>
    <w:pPr>
      <w:pBdr/>
      <w:spacing/>
      <w:ind/>
    </w:pPr>
  </w:style>
  <w:style w:type="table" w:styleId="762" w:customStyle="1">
    <w:name w:val="Звичайна таблиця 11"/>
    <w:basedOn w:val="7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21"/>
    <w:basedOn w:val="72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31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41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51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1 (світла)1"/>
    <w:basedOn w:val="723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21"/>
    <w:basedOn w:val="723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31"/>
    <w:basedOn w:val="723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41"/>
    <w:basedOn w:val="723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5 (темна)1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6 (кольорова)1"/>
    <w:basedOn w:val="723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7 (кольорова)1"/>
    <w:basedOn w:val="723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1 (світлий)1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21"/>
    <w:basedOn w:val="723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31"/>
    <w:basedOn w:val="72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41"/>
    <w:basedOn w:val="72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5 (темний)1"/>
    <w:basedOn w:val="723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6 (кольоровий)1"/>
    <w:basedOn w:val="723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7 (кольоровий)1"/>
    <w:basedOn w:val="723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1" w:customStyle="1">
    <w:name w:val="Footnote Text Char"/>
    <w:uiPriority w:val="99"/>
    <w:pPr>
      <w:pBdr/>
      <w:spacing/>
      <w:ind/>
    </w:pPr>
    <w:rPr>
      <w:sz w:val="18"/>
    </w:rPr>
  </w:style>
  <w:style w:type="character" w:styleId="782" w:customStyle="1">
    <w:name w:val="Endnote Text Char"/>
    <w:uiPriority w:val="99"/>
    <w:pPr>
      <w:pBdr/>
      <w:spacing/>
      <w:ind/>
    </w:pPr>
    <w:rPr>
      <w:sz w:val="20"/>
    </w:rPr>
  </w:style>
  <w:style w:type="character" w:styleId="783" w:customStyle="1">
    <w:name w:val="Caption Char"/>
    <w:uiPriority w:val="99"/>
    <w:pPr>
      <w:pBdr/>
      <w:spacing/>
      <w:ind/>
    </w:pPr>
  </w:style>
  <w:style w:type="character" w:styleId="784" w:customStyle="1">
    <w:name w:val="Текст кінцевої виноски Знак"/>
    <w:link w:val="729"/>
    <w:uiPriority w:val="99"/>
    <w:pPr>
      <w:pBdr/>
      <w:spacing/>
      <w:ind/>
    </w:pPr>
    <w:rPr>
      <w:sz w:val="20"/>
    </w:rPr>
  </w:style>
  <w:style w:type="table" w:styleId="785" w:customStyle="1">
    <w:name w:val="Table Grid Light"/>
    <w:basedOn w:val="7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23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23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2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23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23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23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23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23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2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23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23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23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23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23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2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23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23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23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1"/>
    <w:basedOn w:val="723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2"/>
    <w:basedOn w:val="723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3"/>
    <w:basedOn w:val="72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4"/>
    <w:basedOn w:val="723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5"/>
    <w:basedOn w:val="723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6"/>
    <w:basedOn w:val="723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basedOn w:val="72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23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23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23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23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23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23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1"/>
    <w:basedOn w:val="723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2"/>
    <w:basedOn w:val="723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3"/>
    <w:basedOn w:val="723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4"/>
    <w:basedOn w:val="723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5"/>
    <w:basedOn w:val="723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6"/>
    <w:basedOn w:val="723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2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23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23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2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23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23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23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23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23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23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23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23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23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1"/>
    <w:basedOn w:val="723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2"/>
    <w:basedOn w:val="723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3"/>
    <w:basedOn w:val="72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4"/>
    <w:basedOn w:val="723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5"/>
    <w:basedOn w:val="723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6"/>
    <w:basedOn w:val="723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723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723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723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723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723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723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23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23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23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23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23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23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23"/>
    <w:uiPriority w:val="99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23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23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23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23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23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2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Заголовок 1 Знак"/>
    <w:basedOn w:val="722"/>
    <w:link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3" w:customStyle="1">
    <w:name w:val="Заголовок 2 Знак"/>
    <w:basedOn w:val="722"/>
    <w:link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4" w:customStyle="1">
    <w:name w:val="Заголовок 3 Знак"/>
    <w:basedOn w:val="722"/>
    <w:link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5" w:customStyle="1">
    <w:name w:val="Заголовок 4 Знак"/>
    <w:basedOn w:val="722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6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7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8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0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1">
    <w:name w:val="List Paragraph"/>
    <w:basedOn w:val="712"/>
    <w:uiPriority w:val="34"/>
    <w:qFormat/>
    <w:pPr>
      <w:pBdr/>
      <w:spacing/>
      <w:ind w:left="720"/>
      <w:contextualSpacing w:val="true"/>
    </w:pPr>
  </w:style>
  <w:style w:type="paragraph" w:styleId="882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83" w:customStyle="1">
    <w:name w:val="Назва Знак"/>
    <w:basedOn w:val="722"/>
    <w:link w:val="743"/>
    <w:uiPriority w:val="10"/>
    <w:pPr>
      <w:pBdr/>
      <w:spacing/>
      <w:ind/>
    </w:pPr>
    <w:rPr>
      <w:sz w:val="48"/>
      <w:szCs w:val="48"/>
    </w:rPr>
  </w:style>
  <w:style w:type="character" w:styleId="884" w:customStyle="1">
    <w:name w:val="Підзаголовок Знак"/>
    <w:basedOn w:val="722"/>
    <w:link w:val="745"/>
    <w:uiPriority w:val="11"/>
    <w:pPr>
      <w:pBdr/>
      <w:spacing/>
      <w:ind/>
    </w:pPr>
    <w:rPr>
      <w:sz w:val="24"/>
      <w:szCs w:val="24"/>
    </w:rPr>
  </w:style>
  <w:style w:type="paragraph" w:styleId="885">
    <w:name w:val="Quote"/>
    <w:basedOn w:val="712"/>
    <w:next w:val="712"/>
    <w:link w:val="886"/>
    <w:uiPriority w:val="29"/>
    <w:qFormat/>
    <w:pPr>
      <w:pBdr/>
      <w:spacing/>
      <w:ind w:right="720" w:left="720"/>
    </w:pPr>
    <w:rPr>
      <w:i/>
    </w:rPr>
  </w:style>
  <w:style w:type="character" w:styleId="886" w:customStyle="1">
    <w:name w:val="Цитата Знак"/>
    <w:link w:val="885"/>
    <w:uiPriority w:val="29"/>
    <w:pPr>
      <w:pBdr/>
      <w:spacing/>
      <w:ind/>
    </w:pPr>
    <w:rPr>
      <w:i/>
    </w:rPr>
  </w:style>
  <w:style w:type="paragraph" w:styleId="887">
    <w:name w:val="Intense Quote"/>
    <w:basedOn w:val="712"/>
    <w:next w:val="712"/>
    <w:link w:val="8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8" w:customStyle="1">
    <w:name w:val="Насичена цитата Знак"/>
    <w:link w:val="887"/>
    <w:uiPriority w:val="30"/>
    <w:pPr>
      <w:pBdr/>
      <w:spacing/>
      <w:ind/>
    </w:pPr>
    <w:rPr>
      <w:i/>
    </w:rPr>
  </w:style>
  <w:style w:type="character" w:styleId="889" w:customStyle="1">
    <w:name w:val="Верхній колонтитул Знак"/>
    <w:basedOn w:val="722"/>
    <w:link w:val="733"/>
    <w:uiPriority w:val="99"/>
    <w:pPr>
      <w:pBdr/>
      <w:spacing/>
      <w:ind/>
    </w:pPr>
  </w:style>
  <w:style w:type="character" w:styleId="890" w:customStyle="1">
    <w:name w:val="Нижній колонтитул Знак"/>
    <w:basedOn w:val="722"/>
    <w:link w:val="744"/>
    <w:uiPriority w:val="99"/>
    <w:pPr>
      <w:pBdr/>
      <w:spacing/>
      <w:ind/>
    </w:pPr>
  </w:style>
  <w:style w:type="table" w:styleId="891" w:customStyle="1">
    <w:name w:val="Lined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23"/>
    <w:uiPriority w:val="99"/>
    <w:pPr>
      <w:pBdr/>
      <w:spacing/>
      <w:ind/>
    </w:p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 w:customStyle="1">
    <w:name w:val="Текст виноски Знак"/>
    <w:link w:val="731"/>
    <w:uiPriority w:val="99"/>
    <w:pPr>
      <w:pBdr/>
      <w:spacing/>
      <w:ind/>
    </w:pPr>
    <w:rPr>
      <w:sz w:val="18"/>
    </w:rPr>
  </w:style>
  <w:style w:type="paragraph" w:styleId="913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14" w:customStyle="1">
    <w:name w:val="Текст у виносці Знак"/>
    <w:basedOn w:val="722"/>
    <w:link w:val="72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15" w:customStyle="1">
    <w:name w:val="docdata"/>
    <w:basedOn w:val="71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16" w:customStyle="1">
    <w:name w:val="docy"/>
    <w:basedOn w:val="72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E9F2088-DFFB-405B-B8D3-8EE834423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508</cp:revision>
  <dcterms:created xsi:type="dcterms:W3CDTF">2023-11-21T13:30:00Z</dcterms:created>
  <dcterms:modified xsi:type="dcterms:W3CDTF">2026-02-16T14:01:50Z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