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1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  <w:highlight w:val="none"/>
        </w:rPr>
      </w:r>
      <w:r>
        <w:rPr>
          <w:rFonts w:ascii="Times New Roman" w:hAnsi="Times New Roman" w:cs="Mangal"/>
          <w:color w:val="000000"/>
          <w:highlight w:val="none"/>
        </w:rPr>
      </w:r>
    </w:p>
    <w:p>
      <w:pPr>
        <w:pStyle w:val="891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  <w:highlight w:val="none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12 лютого 2026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52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11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міського голови від 30 січня 2026 року № 31 «Про скликання 70 сесії Менської міської ради 8 скликання»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Регламенту роботи Менської міської ради 8 скликання, керуючись Законом України «Про місцеве самоврядування в Україні» та у зв’язку з неможливістю проведення пленарного засідання 20 лютого 2026 року через участь секретаря Менської міської рад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Юрія Стальниченка у заході щодо розвитку місцевої статистики для громад (м. Київ) згідно із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запрошенням Державної служби статистики України від 03 лютого 2026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зміни до пункту 2 розпорядження міського голови від 30 січня 2026 року № 31 «Про скликання 70 сесії Менської міської ради 8 скликання», перенісши дату пленарного засідання на 19 лютого 2026 року.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розпорядження № 31 викласти в такій редакції: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0" w:left="567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1f1f1f"/>
          <w:sz w:val="28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1f1f1f"/>
          <w:sz w:val="28"/>
          <w:szCs w:val="24"/>
        </w:rPr>
        <w:t xml:space="preserve">2. Пленарне засідання 70 сесії Менської міської ради 8 скликання провести 19 лютого 2026 року о **:** в приміщенні **** за адресою м. Мена, вул. ****, **.</w:t>
      </w:r>
      <w:r>
        <w:rPr>
          <w:rFonts w:ascii="Times New Roman" w:hAnsi="Times New Roman" w:eastAsia="Times New Roman" w:cs="Times New Roman"/>
          <w:b w:val="0"/>
          <w:bCs w:val="0"/>
          <w:color w:val="1f1f1f"/>
          <w:sz w:val="28"/>
          <w:szCs w:val="24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4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Відділу документування та забезпечення діяльності апарату ради та сектору комуні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кацій Менської міської ради забезпечити термінове інформування депутатів міської ради про зміну дати пленарного засідання та оприлюднити дане розпорядження на офіційному вебсай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ті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Відділу документування та забезпечення діяльності апарату ради повідомити Менську міську територіальну виборчу комісію про зміну дати проведення сесії.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Інші пункти розпорядження від 30 січня 2026 року № 31 залишити без змін.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роль за виконанням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2026-02-12T12:47:13Z</dcterms:modified>
</cp:coreProperties>
</file>