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13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815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815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815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815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0</w:t>
      </w:r>
      <w:r>
        <w:rPr>
          <w:rFonts w:cs="Mangal"/>
          <w:color w:val="000000"/>
          <w:szCs w:val="28"/>
          <w:lang w:val="en-US" w:eastAsia="hi-IN" w:bidi="hi-IN"/>
        </w:rPr>
        <w:t xml:space="preserve">6 </w:t>
      </w:r>
      <w:r>
        <w:rPr>
          <w:rFonts w:cs="Mangal"/>
          <w:color w:val="000000"/>
          <w:szCs w:val="28"/>
          <w:lang w:eastAsia="hi-IN" w:bidi="hi-IN"/>
        </w:rPr>
        <w:t xml:space="preserve">лютого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41</w:t>
      </w:r>
      <w:r>
        <w:rPr>
          <w:rFonts w:cs="Mangal"/>
          <w:color w:val="000000"/>
          <w:szCs w:val="28"/>
          <w:lang w:eastAsia="hi-IN" w:bidi="hi-IN"/>
        </w:rPr>
      </w:r>
      <w:r>
        <w:rPr>
          <w:rFonts w:cs="Mangal"/>
          <w:color w:val="000000"/>
          <w:szCs w:val="28"/>
          <w:lang w:eastAsia="hi-IN" w:bidi="hi-IN"/>
        </w:rPr>
      </w:r>
    </w:p>
    <w:p>
      <w:pPr>
        <w:pStyle w:val="815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15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15"/>
        <w:pBdr/>
        <w:spacing/>
        <w:ind/>
        <w:rPr/>
      </w:pPr>
      <w:r/>
      <w:r/>
    </w:p>
    <w:p>
      <w:pPr>
        <w:pStyle w:val="815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сесії Менської міс</w:t>
      </w:r>
      <w:r>
        <w:t xml:space="preserve">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бюджетних коштів:</w:t>
      </w:r>
      <w:r>
        <w:t xml:space="preserve"> </w:t>
      </w:r>
      <w:r/>
    </w:p>
    <w:p>
      <w:pPr>
        <w:pStyle w:val="1012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розпису видатків</w:t>
      </w:r>
      <w:r>
        <w:rPr>
          <w:szCs w:val="28"/>
        </w:rPr>
        <w:t xml:space="preserve"> загального фонду </w:t>
      </w:r>
      <w:r>
        <w:rPr>
          <w:szCs w:val="28"/>
        </w:rPr>
        <w:t xml:space="preserve">Відділу о</w:t>
      </w:r>
      <w:r>
        <w:rPr>
          <w:szCs w:val="28"/>
        </w:rPr>
        <w:t xml:space="preserve">світи Менської міської ради з надання дошкільної освіти</w:t>
      </w:r>
      <w:r>
        <w:rPr>
          <w:szCs w:val="28"/>
        </w:rPr>
        <w:t xml:space="preserve">, а саме: 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</w:t>
      </w:r>
      <w:r>
        <w:rPr>
          <w:szCs w:val="28"/>
        </w:rPr>
        <w:t xml:space="preserve">і</w:t>
      </w:r>
      <w:r>
        <w:rPr>
          <w:szCs w:val="28"/>
        </w:rPr>
        <w:t xml:space="preserve"> призначен</w:t>
      </w:r>
      <w:r>
        <w:rPr>
          <w:szCs w:val="28"/>
        </w:rPr>
        <w:t xml:space="preserve">ня</w:t>
      </w:r>
      <w:r>
        <w:rPr>
          <w:szCs w:val="28"/>
        </w:rPr>
        <w:t xml:space="preserve"> для </w:t>
      </w:r>
      <w:r>
        <w:rPr>
          <w:szCs w:val="28"/>
        </w:rPr>
        <w:t xml:space="preserve">інших енергоносіїв та інших комунальних послуг</w:t>
      </w:r>
      <w:r>
        <w:rPr>
          <w:szCs w:val="28"/>
        </w:rPr>
        <w:t xml:space="preserve"> </w:t>
      </w:r>
      <w:r>
        <w:rPr>
          <w:szCs w:val="28"/>
        </w:rPr>
        <w:t xml:space="preserve">у квітні місяц</w:t>
      </w:r>
      <w:r>
        <w:rPr>
          <w:szCs w:val="28"/>
        </w:rPr>
        <w:t xml:space="preserve">і </w:t>
      </w:r>
      <w:r>
        <w:rPr>
          <w:szCs w:val="28"/>
        </w:rPr>
        <w:t xml:space="preserve">на суму </w:t>
      </w:r>
      <w:r>
        <w:rPr>
          <w:szCs w:val="28"/>
        </w:rPr>
        <w:t xml:space="preserve">11000</w:t>
      </w:r>
      <w:r>
        <w:rPr>
          <w:szCs w:val="28"/>
        </w:rPr>
        <w:t xml:space="preserve">,00 грн., </w:t>
      </w:r>
      <w:r>
        <w:rPr>
          <w:szCs w:val="28"/>
        </w:rPr>
        <w:t xml:space="preserve">відповідно збільшити кошторисні призначення </w:t>
      </w:r>
      <w:r>
        <w:rPr>
          <w:szCs w:val="28"/>
        </w:rPr>
        <w:t xml:space="preserve">за вказаним напрямком у </w:t>
      </w:r>
      <w:r>
        <w:rPr>
          <w:szCs w:val="28"/>
        </w:rPr>
        <w:t xml:space="preserve">лютому</w:t>
      </w:r>
      <w:r>
        <w:rPr>
          <w:szCs w:val="28"/>
        </w:rPr>
        <w:t xml:space="preserve"> місяці</w:t>
      </w:r>
      <w:r>
        <w:rPr>
          <w:szCs w:val="28"/>
        </w:rPr>
        <w:t xml:space="preserve"> на</w:t>
      </w:r>
      <w:r>
        <w:rPr>
          <w:szCs w:val="28"/>
        </w:rPr>
        <w:t xml:space="preserve"> таку ж</w:t>
      </w:r>
      <w:r>
        <w:rPr>
          <w:szCs w:val="28"/>
        </w:rPr>
        <w:t xml:space="preserve"> суму</w:t>
      </w:r>
      <w:r>
        <w:rPr>
          <w:szCs w:val="28"/>
        </w:rPr>
        <w:t xml:space="preserve"> </w:t>
      </w:r>
      <w:r>
        <w:rPr>
          <w:szCs w:val="28"/>
        </w:rPr>
        <w:t xml:space="preserve">(закупівля ПММ </w:t>
      </w:r>
      <w:r>
        <w:rPr>
          <w:szCs w:val="28"/>
        </w:rPr>
        <w:t xml:space="preserve">для генератор</w:t>
      </w:r>
      <w:r>
        <w:rPr>
          <w:szCs w:val="28"/>
        </w:rPr>
        <w:t xml:space="preserve">у Дягівського ЗДО </w:t>
      </w:r>
      <w:r>
        <w:rPr>
          <w:szCs w:val="28"/>
        </w:rPr>
        <w:t xml:space="preserve">«</w:t>
      </w:r>
      <w:r>
        <w:rPr>
          <w:szCs w:val="28"/>
        </w:rPr>
        <w:t xml:space="preserve">В</w:t>
      </w:r>
      <w:r>
        <w:rPr>
          <w:szCs w:val="28"/>
        </w:rPr>
        <w:t xml:space="preserve">еселка</w:t>
      </w:r>
      <w:r>
        <w:rPr>
          <w:szCs w:val="28"/>
        </w:rPr>
        <w:t xml:space="preserve">»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611010</w:t>
      </w:r>
      <w:r>
        <w:rPr>
          <w:szCs w:val="28"/>
        </w:rPr>
        <w:t xml:space="preserve"> КЕКВ </w:t>
      </w:r>
      <w:r>
        <w:rPr>
          <w:szCs w:val="28"/>
        </w:rPr>
        <w:t xml:space="preserve">2275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окремих заходів по реалізації державних (регіональ</w:t>
      </w:r>
      <w:r>
        <w:rPr>
          <w:szCs w:val="28"/>
        </w:rPr>
        <w:t xml:space="preserve">них) програм, не віднесених до заходів розвитку, у </w:t>
      </w:r>
      <w:r>
        <w:rPr>
          <w:szCs w:val="28"/>
        </w:rPr>
        <w:t xml:space="preserve">вересні </w:t>
      </w:r>
      <w:r>
        <w:rPr>
          <w:szCs w:val="28"/>
        </w:rPr>
        <w:t xml:space="preserve">місяці на суму </w:t>
      </w:r>
      <w:r>
        <w:rPr>
          <w:szCs w:val="28"/>
        </w:rPr>
        <w:t xml:space="preserve">1500</w:t>
      </w:r>
      <w:r>
        <w:rPr>
          <w:szCs w:val="28"/>
        </w:rPr>
        <w:t xml:space="preserve">,00 грн., відповідно збільшити кошторисні призначення за вказаним напрямком у </w:t>
      </w:r>
      <w:r>
        <w:rPr>
          <w:szCs w:val="28"/>
        </w:rPr>
        <w:t xml:space="preserve">лютому</w:t>
      </w:r>
      <w:r>
        <w:rPr>
          <w:szCs w:val="28"/>
        </w:rPr>
        <w:t xml:space="preserve"> місяці на таку ж суму</w:t>
      </w:r>
      <w:r>
        <w:rPr>
          <w:szCs w:val="28"/>
        </w:rPr>
        <w:t xml:space="preserve"> (</w:t>
      </w:r>
      <w:r>
        <w:rPr>
          <w:szCs w:val="28"/>
        </w:rPr>
        <w:t xml:space="preserve">оплата за навчання оператора газової котельні</w:t>
      </w:r>
      <w:r>
        <w:rPr>
          <w:szCs w:val="28"/>
        </w:rPr>
        <w:t xml:space="preserve"> по М</w:t>
      </w:r>
      <w:r>
        <w:rPr>
          <w:szCs w:val="28"/>
        </w:rPr>
        <w:t xml:space="preserve">акошинському ЗДО </w:t>
      </w:r>
      <w:r>
        <w:rPr>
          <w:szCs w:val="28"/>
        </w:rPr>
        <w:t xml:space="preserve">«</w:t>
      </w:r>
      <w:r>
        <w:rPr>
          <w:szCs w:val="28"/>
        </w:rPr>
        <w:t xml:space="preserve">Сонечко</w:t>
      </w:r>
      <w:r>
        <w:rPr>
          <w:szCs w:val="28"/>
        </w:rPr>
        <w:t xml:space="preserve">»</w:t>
      </w:r>
      <w:r>
        <w:rPr>
          <w:szCs w:val="28"/>
        </w:rPr>
        <w:t xml:space="preserve">)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0611010 КЕКВ 2282).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</w:t>
      </w:r>
      <w:r>
        <w:rPr>
          <w:szCs w:val="28"/>
        </w:rPr>
        <w:t xml:space="preserve">меншити кошторисні призначення для оплати праці у грудні місяці на суму 18500,00 грн., відповідно збільшити кошторисні призначення за вказаним напрямком у лютому місяці на таку ж суму (Блистівський ЗДО </w:t>
      </w:r>
      <w:r>
        <w:rPr>
          <w:szCs w:val="28"/>
        </w:rPr>
        <w:t xml:space="preserve">«</w:t>
      </w:r>
      <w:r>
        <w:rPr>
          <w:szCs w:val="28"/>
        </w:rPr>
        <w:t xml:space="preserve">Ромашка</w:t>
      </w:r>
      <w:r>
        <w:rPr>
          <w:szCs w:val="28"/>
        </w:rPr>
        <w:t xml:space="preserve">»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0611010 КЕКВ 21</w:t>
      </w:r>
      <w:r>
        <w:rPr>
          <w:szCs w:val="28"/>
        </w:rPr>
        <w:t xml:space="preserve">11);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</w:t>
      </w:r>
      <w:r>
        <w:rPr>
          <w:szCs w:val="28"/>
        </w:rPr>
        <w:t xml:space="preserve">меншити </w:t>
      </w:r>
      <w:r>
        <w:rPr>
          <w:szCs w:val="28"/>
        </w:rPr>
        <w:t xml:space="preserve">кошторисні призначення для нарахувань на заробітну працю у листопаді місяці на суму 260,00 грн., у грудні місяці на суму 6240,00 </w:t>
      </w:r>
      <w:r>
        <w:rPr>
          <w:szCs w:val="28"/>
        </w:rPr>
        <w:t xml:space="preserve">грн., відповідно збільшити кошторисні призначення за вказаним напрямком у лютому місяці на суму 6500,00 грн.</w:t>
      </w:r>
      <w:r>
        <w:rPr>
          <w:szCs w:val="28"/>
        </w:rPr>
        <w:t xml:space="preserve"> (</w:t>
      </w:r>
      <w:r>
        <w:rPr>
          <w:szCs w:val="28"/>
        </w:rPr>
        <w:t xml:space="preserve">Блистівський ЗДО </w:t>
      </w:r>
      <w:r>
        <w:rPr>
          <w:szCs w:val="28"/>
        </w:rPr>
        <w:t xml:space="preserve">«</w:t>
      </w:r>
      <w:r>
        <w:rPr>
          <w:szCs w:val="28"/>
        </w:rPr>
        <w:t xml:space="preserve">Ромашка</w:t>
      </w:r>
      <w:r>
        <w:rPr>
          <w:szCs w:val="28"/>
        </w:rPr>
        <w:t xml:space="preserve">»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0611010 КЕКВ 2120).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річного розпису видатків </w:t>
      </w:r>
      <w:r>
        <w:rPr>
          <w:szCs w:val="28"/>
        </w:rPr>
        <w:t xml:space="preserve">загального фонду </w:t>
      </w:r>
      <w:r>
        <w:rPr>
          <w:szCs w:val="28"/>
        </w:rPr>
        <w:t xml:space="preserve">Відділу освіти Менської міської ради з надання дошкільної освіти</w:t>
      </w:r>
      <w:r>
        <w:rPr>
          <w:szCs w:val="28"/>
        </w:rPr>
        <w:t xml:space="preserve">, а саме: </w:t>
      </w:r>
      <w:r>
        <w:rPr>
          <w:szCs w:val="28"/>
        </w:rPr>
        <w:t xml:space="preserve">зменшити кошторисні призначення для придбання предметів, матеріалів, обладнання та інвентарю на суму 8800,00 грн., відповідно збільшити кошторисні призначення для придбання </w:t>
      </w:r>
      <w:r>
        <w:rPr>
          <w:szCs w:val="28"/>
        </w:rPr>
        <w:t xml:space="preserve">обладнання і </w:t>
      </w:r>
      <w:r>
        <w:rPr>
          <w:szCs w:val="28"/>
        </w:rPr>
        <w:t xml:space="preserve">предметів </w:t>
      </w:r>
      <w:r>
        <w:rPr>
          <w:szCs w:val="28"/>
        </w:rPr>
        <w:t xml:space="preserve">довгост</w:t>
      </w:r>
      <w:r>
        <w:rPr>
          <w:szCs w:val="28"/>
        </w:rPr>
        <w:t xml:space="preserve">рокового користування на таку ж суму (підви</w:t>
      </w:r>
      <w:r>
        <w:rPr>
          <w:szCs w:val="28"/>
        </w:rPr>
        <w:t xml:space="preserve">щення ціни</w:t>
      </w:r>
      <w:r>
        <w:rPr>
          <w:szCs w:val="28"/>
        </w:rPr>
        <w:t xml:space="preserve"> за котел </w:t>
      </w:r>
      <w:r>
        <w:rPr>
          <w:szCs w:val="28"/>
        </w:rPr>
        <w:t xml:space="preserve">опалювальний для Осьмаківської філії Менського ЗДО </w:t>
      </w:r>
      <w:r>
        <w:rPr>
          <w:szCs w:val="28"/>
        </w:rPr>
        <w:t xml:space="preserve">«</w:t>
      </w:r>
      <w:r>
        <w:rPr>
          <w:szCs w:val="28"/>
        </w:rPr>
        <w:t xml:space="preserve">Дитяча академія</w:t>
      </w:r>
      <w:r>
        <w:rPr>
          <w:szCs w:val="28"/>
        </w:rPr>
        <w:t xml:space="preserve">»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0611010 КЕКВ 2210 -8800,00 грн., КЕКВ 3110 +8800,00 грн.).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</w:t>
      </w:r>
      <w:r>
        <w:rPr>
          <w:szCs w:val="28"/>
        </w:rPr>
        <w:t xml:space="preserve"> </w:t>
      </w:r>
      <w:r>
        <w:rPr>
          <w:szCs w:val="28"/>
        </w:rPr>
        <w:t xml:space="preserve">з надання загальної середньої освіти закладами </w:t>
      </w:r>
      <w:r>
        <w:rPr>
          <w:szCs w:val="28"/>
        </w:rPr>
        <w:t xml:space="preserve">загальної середньої освіти за рахунок коштів місцевих бюджетів</w:t>
      </w:r>
      <w:r>
        <w:rPr>
          <w:szCs w:val="28"/>
        </w:rPr>
        <w:t xml:space="preserve">, а саме: 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</w:t>
      </w:r>
      <w:r>
        <w:rPr>
          <w:szCs w:val="28"/>
        </w:rPr>
        <w:t xml:space="preserve">оплати інших енергоносіїв та інших комунальних послуг у </w:t>
      </w:r>
      <w:r>
        <w:rPr>
          <w:szCs w:val="28"/>
        </w:rPr>
        <w:t xml:space="preserve">травні міся</w:t>
      </w:r>
      <w:r>
        <w:rPr>
          <w:szCs w:val="28"/>
        </w:rPr>
        <w:t xml:space="preserve">ці на суму </w:t>
      </w:r>
      <w:r>
        <w:rPr>
          <w:szCs w:val="28"/>
        </w:rPr>
        <w:t xml:space="preserve">300000</w:t>
      </w:r>
      <w:r>
        <w:rPr>
          <w:szCs w:val="28"/>
        </w:rPr>
        <w:t xml:space="preserve">,00 грн., </w:t>
      </w:r>
      <w:r>
        <w:rPr>
          <w:szCs w:val="28"/>
        </w:rPr>
        <w:t xml:space="preserve">відповідно збільшити кошторисні призначення за вказаним напрямком у </w:t>
      </w:r>
      <w:r>
        <w:rPr>
          <w:szCs w:val="28"/>
        </w:rPr>
        <w:t xml:space="preserve">лютому</w:t>
      </w:r>
      <w:r>
        <w:rPr>
          <w:szCs w:val="28"/>
        </w:rPr>
        <w:t xml:space="preserve"> місяці на </w:t>
      </w:r>
      <w:r>
        <w:rPr>
          <w:szCs w:val="28"/>
        </w:rPr>
        <w:t xml:space="preserve">таку ж </w:t>
      </w:r>
      <w:r>
        <w:rPr>
          <w:szCs w:val="28"/>
        </w:rPr>
        <w:t xml:space="preserve">суму </w:t>
      </w:r>
      <w:r>
        <w:rPr>
          <w:szCs w:val="28"/>
        </w:rPr>
        <w:t xml:space="preserve">(закупівля </w:t>
      </w:r>
      <w:r>
        <w:rPr>
          <w:szCs w:val="28"/>
        </w:rPr>
        <w:t xml:space="preserve">вугілля та </w:t>
      </w:r>
      <w:r>
        <w:rPr>
          <w:szCs w:val="28"/>
        </w:rPr>
        <w:t xml:space="preserve">ПММ для генератор</w:t>
      </w:r>
      <w:r>
        <w:rPr>
          <w:szCs w:val="28"/>
        </w:rPr>
        <w:t xml:space="preserve">у </w:t>
      </w:r>
      <w:r>
        <w:rPr>
          <w:szCs w:val="28"/>
        </w:rPr>
        <w:t xml:space="preserve">Бірківської філії Опорного закладу Менська гімназія)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</w:t>
      </w:r>
      <w:r>
        <w:rPr>
          <w:szCs w:val="28"/>
        </w:rPr>
        <w:t xml:space="preserve">КПКВК 0</w:t>
      </w:r>
      <w:r>
        <w:rPr>
          <w:szCs w:val="28"/>
        </w:rPr>
        <w:t xml:space="preserve">6</w:t>
      </w:r>
      <w:r>
        <w:rPr>
          <w:szCs w:val="28"/>
        </w:rPr>
        <w:t xml:space="preserve">1</w:t>
      </w:r>
      <w:r>
        <w:rPr>
          <w:szCs w:val="28"/>
        </w:rPr>
        <w:t xml:space="preserve">1021</w:t>
      </w:r>
      <w:r>
        <w:rPr>
          <w:szCs w:val="28"/>
        </w:rPr>
        <w:t xml:space="preserve"> КЕКВ 22</w:t>
      </w:r>
      <w:r>
        <w:rPr>
          <w:szCs w:val="28"/>
        </w:rPr>
        <w:t xml:space="preserve">75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  <w:lang w:val="en-US"/>
        </w:rPr>
      </w:pPr>
      <w:r>
        <w:rPr>
          <w:szCs w:val="28"/>
        </w:rPr>
        <w:t xml:space="preserve">зменшити кошторисні призначення для </w:t>
      </w:r>
      <w:r>
        <w:rPr>
          <w:szCs w:val="28"/>
        </w:rPr>
        <w:t xml:space="preserve">окремих заходів по реалізації державних (регіональних) програм, не віднесених до заходів розвитку, у </w:t>
      </w:r>
      <w:r>
        <w:rPr>
          <w:szCs w:val="28"/>
        </w:rPr>
        <w:t xml:space="preserve">вересні </w:t>
      </w:r>
      <w:r>
        <w:rPr>
          <w:szCs w:val="28"/>
        </w:rPr>
        <w:t xml:space="preserve">місяці на суму </w:t>
      </w:r>
      <w:r>
        <w:rPr>
          <w:szCs w:val="28"/>
        </w:rPr>
        <w:t xml:space="preserve">1500</w:t>
      </w:r>
      <w:r>
        <w:rPr>
          <w:szCs w:val="28"/>
        </w:rPr>
        <w:t xml:space="preserve">,00 грн., відповідно збільшити кошторисні призначення за вказаним напрямком у </w:t>
      </w:r>
      <w:r>
        <w:rPr>
          <w:szCs w:val="28"/>
        </w:rPr>
        <w:t xml:space="preserve">лютому</w:t>
      </w:r>
      <w:r>
        <w:rPr>
          <w:szCs w:val="28"/>
        </w:rPr>
        <w:t xml:space="preserve"> місяці на таку ж суму</w:t>
      </w:r>
      <w:r>
        <w:rPr>
          <w:szCs w:val="28"/>
        </w:rPr>
        <w:t xml:space="preserve"> (</w:t>
      </w:r>
      <w:r>
        <w:rPr>
          <w:szCs w:val="28"/>
        </w:rPr>
        <w:t xml:space="preserve">оплата за навчання оператора </w:t>
      </w:r>
      <w:r>
        <w:rPr>
          <w:szCs w:val="28"/>
        </w:rPr>
        <w:t xml:space="preserve">т</w:t>
      </w:r>
      <w:r>
        <w:rPr>
          <w:szCs w:val="28"/>
        </w:rPr>
        <w:t xml:space="preserve">вердопали</w:t>
      </w:r>
      <w:r>
        <w:rPr>
          <w:szCs w:val="28"/>
        </w:rPr>
        <w:t xml:space="preserve">в</w:t>
      </w:r>
      <w:r>
        <w:rPr>
          <w:szCs w:val="28"/>
        </w:rPr>
        <w:t xml:space="preserve">них котлів по Макошинській гімназії)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</w:t>
      </w:r>
      <w:r>
        <w:rPr>
          <w:szCs w:val="28"/>
        </w:rPr>
        <w:t xml:space="preserve">КПКВК 0611021 КЕКВ 2282)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  <w:lang w:val="en-US"/>
        </w:rPr>
      </w:pPr>
      <w:r>
        <w:rPr>
          <w:szCs w:val="28"/>
        </w:rPr>
        <w:t xml:space="preserve">Внести зміни до помісячного розпису видатків загального фонду Відділу освіти Менської міської ради </w:t>
      </w:r>
      <w:r>
        <w:rPr>
          <w:szCs w:val="28"/>
        </w:rPr>
        <w:t xml:space="preserve">із забезпечення діяльності інклюзивно</w:t>
      </w:r>
      <w:r>
        <w:rPr>
          <w:szCs w:val="28"/>
        </w:rPr>
        <w:t xml:space="preserve"> </w:t>
      </w:r>
      <w:r>
        <w:rPr>
          <w:szCs w:val="28"/>
        </w:rPr>
        <w:t xml:space="preserve">- ресурсних центрів за рахунок коштів місцевого бюджету</w:t>
      </w:r>
      <w:r>
        <w:rPr>
          <w:szCs w:val="28"/>
        </w:rPr>
        <w:t xml:space="preserve"> в частині фінансуван</w:t>
      </w:r>
      <w:r>
        <w:rPr>
          <w:szCs w:val="28"/>
        </w:rPr>
        <w:t xml:space="preserve">ня Комунальної установи </w:t>
      </w:r>
      <w:r>
        <w:rPr>
          <w:szCs w:val="28"/>
        </w:rPr>
        <w:t xml:space="preserve">«</w:t>
      </w:r>
      <w:r>
        <w:rPr>
          <w:szCs w:val="28"/>
        </w:rPr>
        <w:t xml:space="preserve">Менський інклюзивно-ресурсний центр</w:t>
      </w:r>
      <w:r>
        <w:rPr>
          <w:szCs w:val="28"/>
        </w:rPr>
        <w:t xml:space="preserve">»</w:t>
      </w:r>
      <w:r>
        <w:rPr>
          <w:szCs w:val="28"/>
        </w:rPr>
        <w:t xml:space="preserve"> Менської міської ради</w:t>
      </w:r>
      <w:r>
        <w:rPr>
          <w:szCs w:val="28"/>
        </w:rPr>
        <w:t xml:space="preserve">: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  <w:lang w:val="en-US"/>
        </w:rPr>
      </w:pPr>
      <w:r>
        <w:rPr>
          <w:szCs w:val="28"/>
          <w:lang w:val="en-US"/>
        </w:rPr>
        <w:t xml:space="preserve">зменшити кошторисні призначення для оплати праці у </w:t>
      </w:r>
      <w:r>
        <w:rPr>
          <w:szCs w:val="28"/>
        </w:rPr>
        <w:t xml:space="preserve">жовтні місяці на суму 2545,00 грн., у листопаді місяці на суму 4800,00 грн., у </w:t>
      </w:r>
      <w:r>
        <w:rPr>
          <w:szCs w:val="28"/>
          <w:lang w:val="en-US"/>
        </w:rPr>
        <w:t xml:space="preserve">грудні місяці на суму </w:t>
      </w:r>
      <w:r>
        <w:rPr>
          <w:szCs w:val="28"/>
        </w:rPr>
        <w:t xml:space="preserve">3555</w:t>
      </w:r>
      <w:r>
        <w:rPr>
          <w:szCs w:val="28"/>
          <w:lang w:val="en-US"/>
        </w:rPr>
        <w:t xml:space="preserve">,00 грн., відповідно збільшити кошторисні призначення за вказаним напрямком у лютому місяці на </w:t>
      </w:r>
      <w:r>
        <w:rPr>
          <w:szCs w:val="28"/>
          <w:lang w:val="en-US"/>
        </w:rPr>
        <w:t xml:space="preserve">суму </w:t>
      </w:r>
      <w:r>
        <w:rPr>
          <w:szCs w:val="28"/>
        </w:rPr>
        <w:t xml:space="preserve">10900,00 грн.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  <w:lang w:val="en-US"/>
        </w:rPr>
      </w:pPr>
      <w:r>
        <w:rPr>
          <w:szCs w:val="28"/>
          <w:lang w:val="en-US"/>
        </w:rPr>
        <w:t xml:space="preserve">(КПКВК 0611</w:t>
      </w:r>
      <w:r>
        <w:rPr>
          <w:szCs w:val="28"/>
        </w:rPr>
        <w:t xml:space="preserve">151</w:t>
      </w:r>
      <w:r>
        <w:rPr>
          <w:szCs w:val="28"/>
          <w:lang w:val="en-US"/>
        </w:rPr>
        <w:t xml:space="preserve"> КЕКВ 21</w:t>
      </w:r>
      <w:r>
        <w:rPr>
          <w:szCs w:val="28"/>
        </w:rPr>
        <w:t xml:space="preserve">11</w:t>
      </w:r>
      <w:r>
        <w:rPr>
          <w:szCs w:val="28"/>
          <w:lang w:val="en-US"/>
        </w:rPr>
        <w:t xml:space="preserve">);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  <w:lang w:val="en-US"/>
        </w:rPr>
      </w:pPr>
      <w:r>
        <w:rPr>
          <w:szCs w:val="28"/>
          <w:lang w:val="en-US"/>
        </w:rPr>
        <w:t xml:space="preserve">зменшити кошторисні призначення для нарахувань на заробітну працю у листопаді місяці на суму </w:t>
      </w:r>
      <w:r>
        <w:rPr>
          <w:szCs w:val="28"/>
        </w:rPr>
        <w:t xml:space="preserve">888</w:t>
      </w:r>
      <w:r>
        <w:rPr>
          <w:szCs w:val="28"/>
          <w:lang w:val="en-US"/>
        </w:rPr>
        <w:t xml:space="preserve">,00 грн., у грудні місяці на суму </w:t>
      </w:r>
      <w:r>
        <w:rPr>
          <w:szCs w:val="28"/>
        </w:rPr>
        <w:t xml:space="preserve">1612</w:t>
      </w:r>
      <w:r>
        <w:rPr>
          <w:szCs w:val="28"/>
          <w:lang w:val="en-US"/>
        </w:rPr>
        <w:t xml:space="preserve">,00 грн., відповідно збільшити кошторисні призначення за вказаним напрямком у лютому місяці на суму </w:t>
      </w:r>
      <w:r>
        <w:rPr>
          <w:szCs w:val="28"/>
        </w:rPr>
        <w:t xml:space="preserve">2500</w:t>
      </w:r>
      <w:r>
        <w:rPr>
          <w:szCs w:val="28"/>
          <w:lang w:val="en-US"/>
        </w:rPr>
        <w:t xml:space="preserve">,00 грн. 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  <w:lang w:val="en-US"/>
        </w:rPr>
      </w:pPr>
      <w:r>
        <w:rPr>
          <w:szCs w:val="28"/>
        </w:rPr>
        <w:t xml:space="preserve">(К</w:t>
      </w:r>
      <w:r>
        <w:rPr>
          <w:szCs w:val="28"/>
          <w:lang w:val="en-US"/>
        </w:rPr>
        <w:t xml:space="preserve">ПКВК 0611</w:t>
      </w:r>
      <w:r>
        <w:rPr>
          <w:szCs w:val="28"/>
        </w:rPr>
        <w:t xml:space="preserve">151</w:t>
      </w:r>
      <w:r>
        <w:rPr>
          <w:szCs w:val="28"/>
          <w:lang w:val="en-US"/>
        </w:rPr>
        <w:t xml:space="preserve"> КЕКВ 2120).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1012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</w:t>
      </w:r>
      <w:r>
        <w:rPr>
          <w:szCs w:val="28"/>
        </w:rPr>
        <w:t xml:space="preserve"> розпису видатків загального фонду бюджету Менської міської територіальної громади по заходах та роботі з мобілізаційної роботи підготовки місцевого значення в частині фінансування Програми викона</w:t>
      </w:r>
      <w:r>
        <w:rPr>
          <w:szCs w:val="28"/>
        </w:rPr>
        <w:t xml:space="preserve">ння заходів з мобілізації, призову на військову службу на території населених пунктів Менської міської територіальної громади на 2025 - 2027 роки, а саме: зменшити кошторисні призначення для придбання предметів, матеріалів, обладнання та інвентарю на суму </w:t>
      </w:r>
      <w:r>
        <w:rPr>
          <w:szCs w:val="28"/>
        </w:rPr>
        <w:t xml:space="preserve">50000</w:t>
      </w:r>
      <w:r>
        <w:rPr>
          <w:szCs w:val="28"/>
        </w:rPr>
        <w:t xml:space="preserve">,00 грн., відповідно збільшити кошторисні призначення </w:t>
      </w:r>
      <w:r>
        <w:rPr>
          <w:szCs w:val="28"/>
        </w:rPr>
        <w:t xml:space="preserve">для оплати послуг (крім комунальних)</w:t>
      </w:r>
      <w:r>
        <w:rPr>
          <w:szCs w:val="28"/>
        </w:rPr>
        <w:t xml:space="preserve"> на таку ж суму (</w:t>
      </w:r>
      <w:r>
        <w:rPr>
          <w:szCs w:val="28"/>
        </w:rPr>
        <w:t xml:space="preserve">оплата послуг рекомендованого поштового відправлення з описом вкладення та повідомлення про вручення</w:t>
      </w:r>
      <w:r>
        <w:rPr>
          <w:szCs w:val="28"/>
        </w:rPr>
        <w:t xml:space="preserve">) 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0118220 КЕКВ 2210</w:t>
      </w:r>
      <w:r>
        <w:rPr>
          <w:szCs w:val="28"/>
        </w:rPr>
        <w:t xml:space="preserve"> -50000,00 грн., КЕКВ 2240 +50000,00 грн.)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</w:t>
      </w:r>
      <w:r>
        <w:rPr>
          <w:szCs w:val="28"/>
        </w:rPr>
        <w:t xml:space="preserve">у видатків загального фонду </w:t>
      </w:r>
      <w:r>
        <w:rPr>
          <w:szCs w:val="28"/>
        </w:rPr>
        <w:t xml:space="preserve">по апарату управління </w:t>
      </w:r>
      <w:r>
        <w:rPr>
          <w:szCs w:val="28"/>
        </w:rPr>
        <w:t xml:space="preserve">Відділу соціального захисту населення та охорони здоров</w:t>
      </w:r>
      <w:r>
        <w:rPr>
          <w:szCs w:val="28"/>
        </w:rPr>
        <w:t xml:space="preserve">’</w:t>
      </w:r>
      <w:r>
        <w:rPr>
          <w:szCs w:val="28"/>
        </w:rPr>
        <w:t xml:space="preserve">я Менської міської ради</w:t>
      </w:r>
      <w:r>
        <w:rPr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</w:t>
      </w:r>
      <w:r>
        <w:rPr>
          <w:szCs w:val="28"/>
        </w:rPr>
        <w:t xml:space="preserve">меншити </w:t>
      </w:r>
      <w:r>
        <w:rPr>
          <w:szCs w:val="28"/>
        </w:rPr>
        <w:t xml:space="preserve">кошторисні</w:t>
      </w:r>
      <w:r>
        <w:rPr>
          <w:szCs w:val="28"/>
        </w:rPr>
        <w:t xml:space="preserve"> призначення </w:t>
      </w:r>
      <w:r>
        <w:rPr>
          <w:szCs w:val="28"/>
        </w:rPr>
        <w:t xml:space="preserve">для </w:t>
      </w:r>
      <w:r>
        <w:rPr>
          <w:szCs w:val="28"/>
        </w:rPr>
        <w:t xml:space="preserve">оплати праці в грудні місяці на суму 200000,00 грн., відповідно збільшити кошторисні призначення за вказаним напрямком у </w:t>
      </w:r>
      <w:r>
        <w:rPr>
          <w:szCs w:val="28"/>
        </w:rPr>
        <w:t xml:space="preserve">лютому місяці на суму 100000,00 грн., у березні місяці на суму 50000,00 грн., у квітні місяці на суму 50000,00 грн.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0810160 КЕКВ 2111);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13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</w:t>
      </w:r>
      <w:r>
        <w:rPr>
          <w:szCs w:val="28"/>
        </w:rPr>
        <w:t xml:space="preserve">меншити </w:t>
      </w:r>
      <w:r>
        <w:rPr>
          <w:szCs w:val="28"/>
        </w:rPr>
        <w:t xml:space="preserve">кошторисні призначення для нара</w:t>
      </w:r>
      <w:r>
        <w:rPr>
          <w:szCs w:val="28"/>
        </w:rPr>
        <w:t xml:space="preserve">хувань на </w:t>
      </w:r>
      <w:r>
        <w:rPr>
          <w:szCs w:val="28"/>
        </w:rPr>
        <w:t xml:space="preserve">заробітну плату у грудні місяці на суму 44000,00 грн., відповідно збільшити кошторисні призначення за вказаним напрямком у лютому місяці на суму 22000,00 грн., у березні місяці на суму 11000,00 грн., у квітні місяці на суму 11000,00 грн.</w:t>
      </w:r>
      <w:r>
        <w:rPr>
          <w:szCs w:val="28"/>
        </w:rPr>
      </w:r>
      <w:r>
        <w:rPr>
          <w:szCs w:val="28"/>
        </w:rPr>
      </w:r>
    </w:p>
    <w:p>
      <w:pPr>
        <w:pStyle w:val="1012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0810160 </w:t>
      </w:r>
      <w:r>
        <w:rPr>
          <w:szCs w:val="28"/>
        </w:rPr>
        <w:t xml:space="preserve">КЕКВ 2120).</w:t>
      </w:r>
      <w:r>
        <w:rPr>
          <w:szCs w:val="28"/>
        </w:rPr>
      </w:r>
      <w:r>
        <w:rPr>
          <w:szCs w:val="28"/>
        </w:rPr>
      </w:r>
    </w:p>
    <w:p>
      <w:pPr>
        <w:pStyle w:val="1012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815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15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15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6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6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11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1"/>
  </w:num>
  <w:num w:numId="11">
    <w:abstractNumId w:val="3"/>
  </w:num>
  <w:num w:numId="12">
    <w:abstractNumId w:val="2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89">
    <w:name w:val="toc 1"/>
    <w:basedOn w:val="815"/>
    <w:next w:val="815"/>
    <w:uiPriority w:val="39"/>
    <w:unhideWhenUsed/>
    <w:pPr>
      <w:pBdr/>
      <w:spacing w:after="100"/>
      <w:ind/>
    </w:pPr>
  </w:style>
  <w:style w:type="paragraph" w:styleId="190">
    <w:name w:val="toc 2"/>
    <w:basedOn w:val="815"/>
    <w:next w:val="815"/>
    <w:uiPriority w:val="39"/>
    <w:unhideWhenUsed/>
    <w:pPr>
      <w:pBdr/>
      <w:spacing w:after="100"/>
      <w:ind w:left="220"/>
    </w:pPr>
  </w:style>
  <w:style w:type="paragraph" w:styleId="191">
    <w:name w:val="toc 3"/>
    <w:basedOn w:val="815"/>
    <w:next w:val="815"/>
    <w:uiPriority w:val="39"/>
    <w:unhideWhenUsed/>
    <w:pPr>
      <w:pBdr/>
      <w:spacing w:after="100"/>
      <w:ind w:left="440"/>
    </w:pPr>
  </w:style>
  <w:style w:type="paragraph" w:styleId="192">
    <w:name w:val="toc 4"/>
    <w:basedOn w:val="815"/>
    <w:next w:val="815"/>
    <w:uiPriority w:val="39"/>
    <w:unhideWhenUsed/>
    <w:pPr>
      <w:pBdr/>
      <w:spacing w:after="100"/>
      <w:ind w:left="660"/>
    </w:pPr>
  </w:style>
  <w:style w:type="paragraph" w:styleId="193">
    <w:name w:val="toc 5"/>
    <w:basedOn w:val="815"/>
    <w:next w:val="815"/>
    <w:uiPriority w:val="39"/>
    <w:unhideWhenUsed/>
    <w:pPr>
      <w:pBdr/>
      <w:spacing w:after="100"/>
      <w:ind w:left="880"/>
    </w:pPr>
  </w:style>
  <w:style w:type="paragraph" w:styleId="194">
    <w:name w:val="toc 6"/>
    <w:basedOn w:val="815"/>
    <w:next w:val="815"/>
    <w:uiPriority w:val="39"/>
    <w:unhideWhenUsed/>
    <w:pPr>
      <w:pBdr/>
      <w:spacing w:after="100"/>
      <w:ind w:left="1100"/>
    </w:pPr>
  </w:style>
  <w:style w:type="paragraph" w:styleId="195">
    <w:name w:val="toc 7"/>
    <w:basedOn w:val="815"/>
    <w:next w:val="815"/>
    <w:uiPriority w:val="39"/>
    <w:unhideWhenUsed/>
    <w:pPr>
      <w:pBdr/>
      <w:spacing w:after="100"/>
      <w:ind w:left="1320"/>
    </w:pPr>
  </w:style>
  <w:style w:type="paragraph" w:styleId="196">
    <w:name w:val="toc 8"/>
    <w:basedOn w:val="815"/>
    <w:next w:val="815"/>
    <w:uiPriority w:val="39"/>
    <w:unhideWhenUsed/>
    <w:pPr>
      <w:pBdr/>
      <w:spacing w:after="100"/>
      <w:ind w:left="1540"/>
    </w:pPr>
  </w:style>
  <w:style w:type="paragraph" w:styleId="197">
    <w:name w:val="toc 9"/>
    <w:basedOn w:val="815"/>
    <w:next w:val="815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89"/>
    <w:uiPriority w:val="99"/>
    <w:semiHidden/>
    <w:pPr>
      <w:pBdr/>
      <w:spacing/>
      <w:ind/>
    </w:pPr>
    <w:rPr>
      <w:color w:val="666666"/>
    </w:rPr>
  </w:style>
  <w:style w:type="table" w:styleId="77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Table Grid"/>
    <w:basedOn w:val="77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0">
    <w:name w:val="Heading 1"/>
    <w:basedOn w:val="815"/>
    <w:next w:val="815"/>
    <w:link w:val="87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81">
    <w:name w:val="Heading 2"/>
    <w:basedOn w:val="815"/>
    <w:next w:val="815"/>
    <w:link w:val="87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82">
    <w:name w:val="Heading 3"/>
    <w:basedOn w:val="815"/>
    <w:next w:val="815"/>
    <w:link w:val="88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83">
    <w:name w:val="Heading 4"/>
    <w:basedOn w:val="815"/>
    <w:next w:val="815"/>
    <w:link w:val="8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84">
    <w:name w:val="Heading 5"/>
    <w:basedOn w:val="815"/>
    <w:next w:val="815"/>
    <w:link w:val="88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85">
    <w:name w:val="Heading 6"/>
    <w:basedOn w:val="815"/>
    <w:next w:val="815"/>
    <w:link w:val="88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86">
    <w:name w:val="Heading 7"/>
    <w:basedOn w:val="815"/>
    <w:next w:val="815"/>
    <w:link w:val="88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87">
    <w:name w:val="Heading 8"/>
    <w:basedOn w:val="815"/>
    <w:next w:val="815"/>
    <w:link w:val="88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88">
    <w:name w:val="Heading 9"/>
    <w:basedOn w:val="815"/>
    <w:next w:val="815"/>
    <w:link w:val="88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89" w:default="1">
    <w:name w:val="Default Paragraph Font"/>
    <w:uiPriority w:val="1"/>
    <w:semiHidden/>
    <w:unhideWhenUsed/>
    <w:pPr>
      <w:pBdr/>
      <w:spacing/>
      <w:ind/>
    </w:pPr>
  </w:style>
  <w:style w:type="numbering" w:styleId="790" w:default="1">
    <w:name w:val="No List"/>
    <w:uiPriority w:val="99"/>
    <w:semiHidden/>
    <w:unhideWhenUsed/>
    <w:pPr>
      <w:pBdr/>
      <w:spacing/>
      <w:ind/>
    </w:pPr>
  </w:style>
  <w:style w:type="paragraph" w:styleId="791">
    <w:name w:val="Title"/>
    <w:basedOn w:val="815"/>
    <w:next w:val="815"/>
    <w:link w:val="88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92">
    <w:name w:val="Subtitle"/>
    <w:basedOn w:val="815"/>
    <w:next w:val="815"/>
    <w:link w:val="88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93">
    <w:name w:val="Quote"/>
    <w:basedOn w:val="815"/>
    <w:next w:val="815"/>
    <w:link w:val="88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94">
    <w:name w:val="List Paragraph"/>
    <w:basedOn w:val="815"/>
    <w:uiPriority w:val="34"/>
    <w:qFormat/>
    <w:pPr>
      <w:pBdr/>
      <w:spacing/>
      <w:ind w:left="720"/>
      <w:contextualSpacing w:val="true"/>
    </w:pPr>
  </w:style>
  <w:style w:type="character" w:styleId="795">
    <w:name w:val="Intense Emphasis"/>
    <w:basedOn w:val="78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96">
    <w:name w:val="Intense Quote"/>
    <w:basedOn w:val="815"/>
    <w:next w:val="815"/>
    <w:link w:val="89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97">
    <w:name w:val="Intense Reference"/>
    <w:basedOn w:val="78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98">
    <w:name w:val="No Spacing"/>
    <w:basedOn w:val="815"/>
    <w:uiPriority w:val="1"/>
    <w:qFormat/>
    <w:pPr>
      <w:pBdr/>
      <w:spacing w:after="0" w:line="240" w:lineRule="auto"/>
      <w:ind/>
    </w:pPr>
  </w:style>
  <w:style w:type="character" w:styleId="799">
    <w:name w:val="Subtle Emphasis"/>
    <w:basedOn w:val="78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0">
    <w:name w:val="Emphasis"/>
    <w:basedOn w:val="789"/>
    <w:uiPriority w:val="20"/>
    <w:qFormat/>
    <w:pPr>
      <w:pBdr/>
      <w:spacing/>
      <w:ind/>
    </w:pPr>
    <w:rPr>
      <w:i/>
      <w:iCs/>
    </w:rPr>
  </w:style>
  <w:style w:type="character" w:styleId="801">
    <w:name w:val="Strong"/>
    <w:basedOn w:val="789"/>
    <w:uiPriority w:val="22"/>
    <w:qFormat/>
    <w:pPr>
      <w:pBdr/>
      <w:spacing/>
      <w:ind/>
    </w:pPr>
    <w:rPr>
      <w:b/>
      <w:bCs/>
    </w:rPr>
  </w:style>
  <w:style w:type="character" w:styleId="802">
    <w:name w:val="Subtle Reference"/>
    <w:basedOn w:val="78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3">
    <w:name w:val="Book Title"/>
    <w:basedOn w:val="78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04">
    <w:name w:val="Header"/>
    <w:basedOn w:val="815"/>
    <w:link w:val="89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05">
    <w:name w:val="Footer"/>
    <w:basedOn w:val="815"/>
    <w:link w:val="89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06">
    <w:name w:val="Caption"/>
    <w:basedOn w:val="815"/>
    <w:next w:val="81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07">
    <w:name w:val="footnote text"/>
    <w:basedOn w:val="815"/>
    <w:link w:val="91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08">
    <w:name w:val="footnote reference"/>
    <w:basedOn w:val="789"/>
    <w:uiPriority w:val="99"/>
    <w:semiHidden/>
    <w:unhideWhenUsed/>
    <w:pPr>
      <w:pBdr/>
      <w:spacing/>
      <w:ind/>
    </w:pPr>
    <w:rPr>
      <w:vertAlign w:val="superscript"/>
    </w:rPr>
  </w:style>
  <w:style w:type="paragraph" w:styleId="809">
    <w:name w:val="endnote text"/>
    <w:basedOn w:val="815"/>
    <w:link w:val="9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0">
    <w:name w:val="endnote reference"/>
    <w:basedOn w:val="789"/>
    <w:uiPriority w:val="99"/>
    <w:semiHidden/>
    <w:unhideWhenUsed/>
    <w:pPr>
      <w:pBdr/>
      <w:spacing/>
      <w:ind/>
    </w:pPr>
    <w:rPr>
      <w:vertAlign w:val="superscript"/>
    </w:rPr>
  </w:style>
  <w:style w:type="character" w:styleId="811">
    <w:name w:val="Hyperlink"/>
    <w:basedOn w:val="78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12">
    <w:name w:val="FollowedHyperlink"/>
    <w:basedOn w:val="78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13">
    <w:name w:val="TOC Heading"/>
    <w:uiPriority w:val="39"/>
    <w:unhideWhenUsed/>
    <w:pPr>
      <w:pBdr/>
      <w:spacing/>
      <w:ind/>
    </w:pPr>
  </w:style>
  <w:style w:type="paragraph" w:styleId="814">
    <w:name w:val="table of figures"/>
    <w:basedOn w:val="815"/>
    <w:next w:val="815"/>
    <w:uiPriority w:val="99"/>
    <w:unhideWhenUsed/>
    <w:pPr>
      <w:pBdr/>
      <w:spacing w:after="0" w:afterAutospacing="0"/>
      <w:ind/>
    </w:pPr>
  </w:style>
  <w:style w:type="paragraph" w:styleId="815" w:default="1">
    <w:name w:val="Normal"/>
    <w:next w:val="815"/>
    <w:link w:val="815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816">
    <w:name w:val="Заголовок 1"/>
    <w:basedOn w:val="815"/>
    <w:next w:val="815"/>
    <w:link w:val="100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17">
    <w:name w:val="Заголовок 2"/>
    <w:basedOn w:val="815"/>
    <w:next w:val="815"/>
    <w:link w:val="1004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18">
    <w:name w:val="Заголовок 3"/>
    <w:basedOn w:val="815"/>
    <w:next w:val="815"/>
    <w:link w:val="1005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19">
    <w:name w:val="Заголовок 4"/>
    <w:basedOn w:val="815"/>
    <w:next w:val="815"/>
    <w:link w:val="1006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20">
    <w:name w:val="Заголовок 5"/>
    <w:basedOn w:val="815"/>
    <w:next w:val="815"/>
    <w:link w:val="100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21">
    <w:name w:val="Заголовок 6"/>
    <w:basedOn w:val="815"/>
    <w:next w:val="815"/>
    <w:link w:val="1008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22">
    <w:name w:val="Заголовок 7"/>
    <w:basedOn w:val="815"/>
    <w:next w:val="815"/>
    <w:link w:val="1009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23">
    <w:name w:val="Заголовок 8"/>
    <w:basedOn w:val="815"/>
    <w:next w:val="815"/>
    <w:link w:val="1010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24">
    <w:name w:val="Заголовок 9"/>
    <w:basedOn w:val="815"/>
    <w:next w:val="815"/>
    <w:link w:val="1011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5">
    <w:name w:val="Шрифт абзацу за замовчуванням"/>
    <w:next w:val="825"/>
    <w:link w:val="815"/>
    <w:uiPriority w:val="1"/>
    <w:semiHidden/>
    <w:unhideWhenUsed/>
    <w:pPr>
      <w:pBdr/>
      <w:spacing/>
      <w:ind/>
    </w:pPr>
  </w:style>
  <w:style w:type="table" w:styleId="826">
    <w:name w:val="Звичайна таблиця"/>
    <w:next w:val="826"/>
    <w:link w:val="815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7">
    <w:name w:val="Немає списку"/>
    <w:next w:val="827"/>
    <w:link w:val="815"/>
    <w:uiPriority w:val="99"/>
    <w:semiHidden/>
    <w:unhideWhenUsed/>
    <w:pPr>
      <w:pBdr/>
      <w:spacing/>
      <w:ind/>
    </w:pPr>
  </w:style>
  <w:style w:type="table" w:styleId="828">
    <w:name w:val="Plain Table 1"/>
    <w:basedOn w:val="826"/>
    <w:next w:val="828"/>
    <w:link w:val="815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2"/>
    <w:basedOn w:val="826"/>
    <w:next w:val="829"/>
    <w:link w:val="815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3"/>
    <w:basedOn w:val="826"/>
    <w:next w:val="830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4"/>
    <w:basedOn w:val="826"/>
    <w:next w:val="831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5"/>
    <w:basedOn w:val="826"/>
    <w:next w:val="832"/>
    <w:link w:val="815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"/>
    <w:basedOn w:val="826"/>
    <w:next w:val="833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"/>
    <w:basedOn w:val="826"/>
    <w:next w:val="834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"/>
    <w:basedOn w:val="826"/>
    <w:next w:val="835"/>
    <w:link w:val="815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4"/>
    <w:basedOn w:val="826"/>
    <w:next w:val="836"/>
    <w:link w:val="8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"/>
    <w:basedOn w:val="826"/>
    <w:next w:val="837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"/>
    <w:basedOn w:val="826"/>
    <w:next w:val="838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basedOn w:val="826"/>
    <w:next w:val="839"/>
    <w:link w:val="815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"/>
    <w:basedOn w:val="826"/>
    <w:next w:val="840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2"/>
    <w:basedOn w:val="826"/>
    <w:next w:val="841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"/>
    <w:basedOn w:val="826"/>
    <w:next w:val="842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"/>
    <w:basedOn w:val="826"/>
    <w:next w:val="843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"/>
    <w:basedOn w:val="826"/>
    <w:next w:val="844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"/>
    <w:basedOn w:val="826"/>
    <w:next w:val="845"/>
    <w:link w:val="8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basedOn w:val="826"/>
    <w:next w:val="846"/>
    <w:link w:val="815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7">
    <w:name w:val="Сильне виокремлення"/>
    <w:next w:val="847"/>
    <w:link w:val="815"/>
    <w:uiPriority w:val="21"/>
    <w:qFormat/>
    <w:pPr>
      <w:pBdr/>
      <w:spacing/>
      <w:ind/>
    </w:pPr>
    <w:rPr>
      <w:i/>
      <w:iCs/>
      <w:color w:val="365f91"/>
    </w:rPr>
  </w:style>
  <w:style w:type="character" w:styleId="848">
    <w:name w:val="Сильне посилання"/>
    <w:next w:val="848"/>
    <w:link w:val="815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49">
    <w:name w:val="Слабке виокремлення"/>
    <w:next w:val="849"/>
    <w:link w:val="815"/>
    <w:uiPriority w:val="19"/>
    <w:qFormat/>
    <w:pPr>
      <w:pBdr/>
      <w:spacing/>
      <w:ind/>
    </w:pPr>
    <w:rPr>
      <w:i/>
      <w:iCs/>
      <w:color w:val="404040"/>
    </w:rPr>
  </w:style>
  <w:style w:type="character" w:styleId="850">
    <w:name w:val="Виділення"/>
    <w:next w:val="850"/>
    <w:link w:val="815"/>
    <w:uiPriority w:val="20"/>
    <w:qFormat/>
    <w:pPr>
      <w:pBdr/>
      <w:spacing/>
      <w:ind/>
    </w:pPr>
    <w:rPr>
      <w:i/>
      <w:iCs/>
    </w:rPr>
  </w:style>
  <w:style w:type="character" w:styleId="851">
    <w:name w:val="Строгий"/>
    <w:next w:val="851"/>
    <w:link w:val="815"/>
    <w:uiPriority w:val="22"/>
    <w:qFormat/>
    <w:pPr>
      <w:pBdr/>
      <w:spacing/>
      <w:ind/>
    </w:pPr>
    <w:rPr>
      <w:b/>
      <w:bCs/>
    </w:rPr>
  </w:style>
  <w:style w:type="character" w:styleId="852">
    <w:name w:val="Слабке посилання"/>
    <w:next w:val="852"/>
    <w:link w:val="815"/>
    <w:uiPriority w:val="31"/>
    <w:qFormat/>
    <w:pPr>
      <w:pBdr/>
      <w:spacing/>
      <w:ind/>
    </w:pPr>
    <w:rPr>
      <w:smallCaps/>
      <w:color w:val="5a5a5a"/>
    </w:rPr>
  </w:style>
  <w:style w:type="character" w:styleId="853">
    <w:name w:val="Назва книги"/>
    <w:next w:val="853"/>
    <w:link w:val="815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54">
    <w:name w:val="Переглянуте гіперпосилання"/>
    <w:next w:val="854"/>
    <w:link w:val="815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55">
    <w:name w:val="Заголовок змісту"/>
    <w:next w:val="855"/>
    <w:link w:val="815"/>
    <w:uiPriority w:val="39"/>
    <w:unhideWhenUsed/>
    <w:pPr>
      <w:pBdr/>
      <w:spacing/>
      <w:ind/>
    </w:pPr>
    <w:rPr>
      <w:lang w:val="uk-UA" w:eastAsia="uk-UA" w:bidi="ar-SA"/>
    </w:rPr>
  </w:style>
  <w:style w:type="character" w:styleId="856">
    <w:name w:val="Знак виноски"/>
    <w:next w:val="856"/>
    <w:link w:val="815"/>
    <w:uiPriority w:val="99"/>
    <w:unhideWhenUsed/>
    <w:qFormat/>
    <w:pPr>
      <w:pBdr/>
      <w:spacing/>
      <w:ind/>
    </w:pPr>
    <w:rPr>
      <w:vertAlign w:val="superscript"/>
    </w:rPr>
  </w:style>
  <w:style w:type="character" w:styleId="857">
    <w:name w:val="Знак кінцевої виноски"/>
    <w:next w:val="857"/>
    <w:link w:val="815"/>
    <w:uiPriority w:val="99"/>
    <w:semiHidden/>
    <w:unhideWhenUsed/>
    <w:pPr>
      <w:pBdr/>
      <w:spacing/>
      <w:ind/>
    </w:pPr>
    <w:rPr>
      <w:vertAlign w:val="superscript"/>
    </w:rPr>
  </w:style>
  <w:style w:type="character" w:styleId="858">
    <w:name w:val="Гіперпосилання"/>
    <w:next w:val="858"/>
    <w:link w:val="815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59">
    <w:name w:val="Текст у виносці"/>
    <w:basedOn w:val="815"/>
    <w:next w:val="859"/>
    <w:link w:val="1045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60">
    <w:name w:val="Текст кінцевої виноски"/>
    <w:basedOn w:val="815"/>
    <w:next w:val="860"/>
    <w:link w:val="915"/>
    <w:uiPriority w:val="99"/>
    <w:semiHidden/>
    <w:unhideWhenUsed/>
    <w:qFormat/>
    <w:pPr>
      <w:pBdr/>
      <w:spacing/>
      <w:ind/>
    </w:pPr>
    <w:rPr>
      <w:sz w:val="20"/>
    </w:rPr>
  </w:style>
  <w:style w:type="paragraph" w:styleId="861">
    <w:name w:val="Назва об'єкта"/>
    <w:basedOn w:val="815"/>
    <w:next w:val="815"/>
    <w:link w:val="815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62">
    <w:name w:val="Текст виноски"/>
    <w:basedOn w:val="815"/>
    <w:next w:val="862"/>
    <w:link w:val="1043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63">
    <w:name w:val="Зміст 8"/>
    <w:basedOn w:val="815"/>
    <w:next w:val="815"/>
    <w:link w:val="815"/>
    <w:uiPriority w:val="39"/>
    <w:unhideWhenUsed/>
    <w:pPr>
      <w:pBdr/>
      <w:spacing w:after="57"/>
      <w:ind w:firstLine="0" w:left="1984"/>
    </w:pPr>
  </w:style>
  <w:style w:type="paragraph" w:styleId="864">
    <w:name w:val="Верхній колонтитул"/>
    <w:basedOn w:val="815"/>
    <w:next w:val="864"/>
    <w:link w:val="1020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65">
    <w:name w:val="Зміст 9"/>
    <w:basedOn w:val="815"/>
    <w:next w:val="815"/>
    <w:link w:val="815"/>
    <w:uiPriority w:val="39"/>
    <w:unhideWhenUsed/>
    <w:pPr>
      <w:pBdr/>
      <w:spacing w:after="57"/>
      <w:ind w:firstLine="0" w:left="2268"/>
    </w:pPr>
  </w:style>
  <w:style w:type="paragraph" w:styleId="866">
    <w:name w:val="Зміст 7"/>
    <w:basedOn w:val="815"/>
    <w:next w:val="815"/>
    <w:link w:val="815"/>
    <w:uiPriority w:val="39"/>
    <w:unhideWhenUsed/>
    <w:pPr>
      <w:pBdr/>
      <w:spacing w:after="57"/>
      <w:ind w:firstLine="0" w:left="1701"/>
    </w:pPr>
  </w:style>
  <w:style w:type="paragraph" w:styleId="867">
    <w:name w:val="Зміст 1"/>
    <w:basedOn w:val="815"/>
    <w:next w:val="815"/>
    <w:link w:val="815"/>
    <w:uiPriority w:val="39"/>
    <w:unhideWhenUsed/>
    <w:qFormat/>
    <w:pPr>
      <w:pBdr/>
      <w:spacing w:after="57"/>
      <w:ind w:firstLine="0"/>
    </w:pPr>
  </w:style>
  <w:style w:type="paragraph" w:styleId="868">
    <w:name w:val="Зміст 6"/>
    <w:basedOn w:val="815"/>
    <w:next w:val="815"/>
    <w:link w:val="815"/>
    <w:uiPriority w:val="39"/>
    <w:unhideWhenUsed/>
    <w:qFormat/>
    <w:pPr>
      <w:pBdr/>
      <w:spacing w:after="57"/>
      <w:ind w:firstLine="0" w:left="1417"/>
    </w:pPr>
  </w:style>
  <w:style w:type="paragraph" w:styleId="869">
    <w:name w:val="Перелік рисунків"/>
    <w:basedOn w:val="815"/>
    <w:next w:val="815"/>
    <w:link w:val="815"/>
    <w:uiPriority w:val="99"/>
    <w:unhideWhenUsed/>
    <w:qFormat/>
    <w:pPr>
      <w:pBdr/>
      <w:spacing/>
      <w:ind/>
    </w:pPr>
  </w:style>
  <w:style w:type="paragraph" w:styleId="870">
    <w:name w:val="Зміст 3"/>
    <w:basedOn w:val="815"/>
    <w:next w:val="815"/>
    <w:link w:val="815"/>
    <w:uiPriority w:val="39"/>
    <w:unhideWhenUsed/>
    <w:qFormat/>
    <w:pPr>
      <w:pBdr/>
      <w:spacing w:after="57"/>
      <w:ind w:firstLine="0" w:left="567"/>
    </w:pPr>
  </w:style>
  <w:style w:type="paragraph" w:styleId="871">
    <w:name w:val="Зміст 2"/>
    <w:basedOn w:val="815"/>
    <w:next w:val="815"/>
    <w:link w:val="815"/>
    <w:uiPriority w:val="39"/>
    <w:unhideWhenUsed/>
    <w:pPr>
      <w:pBdr/>
      <w:spacing w:after="57"/>
      <w:ind w:firstLine="0" w:left="283"/>
    </w:pPr>
  </w:style>
  <w:style w:type="paragraph" w:styleId="872">
    <w:name w:val="Зміст 4"/>
    <w:basedOn w:val="815"/>
    <w:next w:val="815"/>
    <w:link w:val="815"/>
    <w:uiPriority w:val="39"/>
    <w:unhideWhenUsed/>
    <w:pPr>
      <w:pBdr/>
      <w:spacing w:after="57"/>
      <w:ind w:firstLine="0" w:left="850"/>
    </w:pPr>
  </w:style>
  <w:style w:type="paragraph" w:styleId="873">
    <w:name w:val="Зміст 5"/>
    <w:basedOn w:val="815"/>
    <w:next w:val="815"/>
    <w:link w:val="815"/>
    <w:uiPriority w:val="39"/>
    <w:unhideWhenUsed/>
    <w:pPr>
      <w:pBdr/>
      <w:spacing w:after="57"/>
      <w:ind w:firstLine="0" w:left="1134"/>
    </w:pPr>
  </w:style>
  <w:style w:type="paragraph" w:styleId="874">
    <w:name w:val="Назва"/>
    <w:basedOn w:val="815"/>
    <w:next w:val="815"/>
    <w:link w:val="1014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75">
    <w:name w:val="Нижній колонтитул"/>
    <w:basedOn w:val="815"/>
    <w:next w:val="875"/>
    <w:link w:val="1021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76">
    <w:name w:val="Підзаголовок"/>
    <w:basedOn w:val="815"/>
    <w:next w:val="815"/>
    <w:link w:val="1015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77">
    <w:name w:val="Сітка таблиці"/>
    <w:basedOn w:val="826"/>
    <w:next w:val="877"/>
    <w:link w:val="815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8">
    <w:name w:val="Heading 1 Char"/>
    <w:next w:val="878"/>
    <w:link w:val="815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79">
    <w:name w:val="Heading 2 Char"/>
    <w:next w:val="879"/>
    <w:link w:val="815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80">
    <w:name w:val="Heading 3 Char"/>
    <w:next w:val="880"/>
    <w:link w:val="815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81">
    <w:name w:val="Heading 4 Char"/>
    <w:next w:val="881"/>
    <w:link w:val="815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82">
    <w:name w:val="Heading 5 Char"/>
    <w:next w:val="882"/>
    <w:link w:val="815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83">
    <w:name w:val="Heading 6 Char"/>
    <w:next w:val="883"/>
    <w:link w:val="815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84">
    <w:name w:val="Heading 7 Char"/>
    <w:next w:val="884"/>
    <w:link w:val="815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85">
    <w:name w:val="Heading 8 Char"/>
    <w:next w:val="885"/>
    <w:link w:val="81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86">
    <w:name w:val="Heading 9 Char"/>
    <w:next w:val="886"/>
    <w:link w:val="81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87">
    <w:name w:val="Title Char"/>
    <w:next w:val="887"/>
    <w:link w:val="815"/>
    <w:uiPriority w:val="10"/>
    <w:qFormat/>
    <w:pPr>
      <w:pBdr/>
      <w:spacing/>
      <w:ind/>
    </w:pPr>
    <w:rPr>
      <w:sz w:val="48"/>
      <w:szCs w:val="48"/>
    </w:rPr>
  </w:style>
  <w:style w:type="character" w:styleId="888">
    <w:name w:val="Subtitle Char"/>
    <w:next w:val="888"/>
    <w:link w:val="815"/>
    <w:uiPriority w:val="11"/>
    <w:qFormat/>
    <w:pPr>
      <w:pBdr/>
      <w:spacing/>
      <w:ind/>
    </w:pPr>
    <w:rPr>
      <w:sz w:val="24"/>
      <w:szCs w:val="24"/>
    </w:rPr>
  </w:style>
  <w:style w:type="character" w:styleId="889">
    <w:name w:val="Quote Char"/>
    <w:next w:val="889"/>
    <w:link w:val="815"/>
    <w:uiPriority w:val="29"/>
    <w:qFormat/>
    <w:pPr>
      <w:pBdr/>
      <w:spacing/>
      <w:ind/>
    </w:pPr>
    <w:rPr>
      <w:i/>
    </w:rPr>
  </w:style>
  <w:style w:type="character" w:styleId="890">
    <w:name w:val="Intense Quote Char"/>
    <w:next w:val="890"/>
    <w:link w:val="815"/>
    <w:uiPriority w:val="30"/>
    <w:qFormat/>
    <w:pPr>
      <w:pBdr/>
      <w:spacing/>
      <w:ind/>
    </w:pPr>
    <w:rPr>
      <w:i/>
    </w:rPr>
  </w:style>
  <w:style w:type="character" w:styleId="891">
    <w:name w:val="Header Char"/>
    <w:basedOn w:val="825"/>
    <w:next w:val="891"/>
    <w:link w:val="815"/>
    <w:uiPriority w:val="99"/>
    <w:qFormat/>
    <w:pPr>
      <w:pBdr/>
      <w:spacing/>
      <w:ind/>
    </w:pPr>
  </w:style>
  <w:style w:type="character" w:styleId="892">
    <w:name w:val="Footer Char"/>
    <w:basedOn w:val="825"/>
    <w:next w:val="892"/>
    <w:link w:val="815"/>
    <w:uiPriority w:val="99"/>
    <w:pPr>
      <w:pBdr/>
      <w:spacing/>
      <w:ind/>
    </w:pPr>
  </w:style>
  <w:style w:type="table" w:styleId="893">
    <w:name w:val="Звичайна таблиця 11"/>
    <w:basedOn w:val="826"/>
    <w:next w:val="893"/>
    <w:link w:val="815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Звичайна таблиця 21"/>
    <w:basedOn w:val="826"/>
    <w:next w:val="894"/>
    <w:link w:val="815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Звичайна таблиця 31"/>
    <w:basedOn w:val="826"/>
    <w:next w:val="895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Звичайна таблиця 41"/>
    <w:basedOn w:val="826"/>
    <w:next w:val="896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Звичайна таблиця 51"/>
    <w:basedOn w:val="826"/>
    <w:next w:val="897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Таблиця-сітка 1 (світла)1"/>
    <w:basedOn w:val="826"/>
    <w:next w:val="898"/>
    <w:link w:val="815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Таблиця-сітка 21"/>
    <w:basedOn w:val="826"/>
    <w:next w:val="899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Таблиця-сітка 31"/>
    <w:basedOn w:val="826"/>
    <w:next w:val="900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Таблиця-сітка 41"/>
    <w:basedOn w:val="826"/>
    <w:next w:val="901"/>
    <w:link w:val="815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Таблиця-сітка 5 (темна)1"/>
    <w:basedOn w:val="826"/>
    <w:next w:val="902"/>
    <w:link w:val="815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Таблиця-сітка 6 (кольорова)1"/>
    <w:basedOn w:val="826"/>
    <w:next w:val="903"/>
    <w:link w:val="815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Таблиця-сітка 7 (кольорова)1"/>
    <w:basedOn w:val="826"/>
    <w:next w:val="904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Таблиця-список 1 (світлий)1"/>
    <w:basedOn w:val="826"/>
    <w:next w:val="905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Таблиця-список 21"/>
    <w:basedOn w:val="826"/>
    <w:next w:val="906"/>
    <w:link w:val="815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Таблиця-список 31"/>
    <w:basedOn w:val="826"/>
    <w:next w:val="907"/>
    <w:link w:val="815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Таблиця-список 41"/>
    <w:basedOn w:val="826"/>
    <w:next w:val="908"/>
    <w:link w:val="815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Таблиця-список 5 (темний)1"/>
    <w:basedOn w:val="826"/>
    <w:next w:val="909"/>
    <w:link w:val="815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Таблиця-список 6 (кольоровий)1"/>
    <w:basedOn w:val="826"/>
    <w:next w:val="910"/>
    <w:link w:val="815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Таблиця-список 7 (кольоровий)1"/>
    <w:basedOn w:val="826"/>
    <w:next w:val="911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2">
    <w:name w:val="Footnote Text Char"/>
    <w:next w:val="912"/>
    <w:link w:val="815"/>
    <w:uiPriority w:val="99"/>
    <w:pPr>
      <w:pBdr/>
      <w:spacing/>
      <w:ind/>
    </w:pPr>
    <w:rPr>
      <w:sz w:val="18"/>
    </w:rPr>
  </w:style>
  <w:style w:type="character" w:styleId="913">
    <w:name w:val="Endnote Text Char"/>
    <w:next w:val="913"/>
    <w:link w:val="815"/>
    <w:uiPriority w:val="99"/>
    <w:pPr>
      <w:pBdr/>
      <w:spacing/>
      <w:ind/>
    </w:pPr>
    <w:rPr>
      <w:sz w:val="20"/>
    </w:rPr>
  </w:style>
  <w:style w:type="character" w:styleId="914">
    <w:name w:val="Caption Char"/>
    <w:next w:val="914"/>
    <w:link w:val="815"/>
    <w:uiPriority w:val="99"/>
    <w:pPr>
      <w:pBdr/>
      <w:spacing/>
      <w:ind/>
    </w:pPr>
  </w:style>
  <w:style w:type="character" w:styleId="915">
    <w:name w:val="Текст кінцевої виноски Знак"/>
    <w:next w:val="915"/>
    <w:link w:val="860"/>
    <w:uiPriority w:val="99"/>
    <w:pPr>
      <w:pBdr/>
      <w:spacing/>
      <w:ind/>
    </w:pPr>
    <w:rPr>
      <w:sz w:val="20"/>
    </w:rPr>
  </w:style>
  <w:style w:type="table" w:styleId="916">
    <w:name w:val="Table Grid Light"/>
    <w:basedOn w:val="826"/>
    <w:next w:val="916"/>
    <w:link w:val="815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1 Light - Accent 1"/>
    <w:basedOn w:val="826"/>
    <w:next w:val="917"/>
    <w:link w:val="815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1 Light - Accent 2"/>
    <w:basedOn w:val="826"/>
    <w:next w:val="918"/>
    <w:link w:val="815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1 Light - Accent 3"/>
    <w:basedOn w:val="826"/>
    <w:next w:val="919"/>
    <w:link w:val="815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1 Light - Accent 4"/>
    <w:basedOn w:val="826"/>
    <w:next w:val="920"/>
    <w:link w:val="815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1 Light - Accent 5"/>
    <w:basedOn w:val="826"/>
    <w:next w:val="921"/>
    <w:link w:val="815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1 Light - Accent 6"/>
    <w:basedOn w:val="826"/>
    <w:next w:val="922"/>
    <w:link w:val="815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2 - Accent 1"/>
    <w:basedOn w:val="826"/>
    <w:next w:val="923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2 - Accent 2"/>
    <w:basedOn w:val="826"/>
    <w:next w:val="924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2 - Accent 3"/>
    <w:basedOn w:val="826"/>
    <w:next w:val="925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2 - Accent 4"/>
    <w:basedOn w:val="826"/>
    <w:next w:val="926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2 - Accent 5"/>
    <w:basedOn w:val="826"/>
    <w:next w:val="927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2 - Accent 6"/>
    <w:basedOn w:val="826"/>
    <w:next w:val="928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3 - Accent 1"/>
    <w:basedOn w:val="826"/>
    <w:next w:val="929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3 - Accent 2"/>
    <w:basedOn w:val="826"/>
    <w:next w:val="930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3 - Accent 3"/>
    <w:basedOn w:val="826"/>
    <w:next w:val="931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3 - Accent 4"/>
    <w:basedOn w:val="826"/>
    <w:next w:val="932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3 - Accent 5"/>
    <w:basedOn w:val="826"/>
    <w:next w:val="933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3 - Accent 6"/>
    <w:basedOn w:val="826"/>
    <w:next w:val="934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4 - Accent 1"/>
    <w:basedOn w:val="826"/>
    <w:next w:val="935"/>
    <w:link w:val="815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4 - Accent 2"/>
    <w:basedOn w:val="826"/>
    <w:next w:val="936"/>
    <w:link w:val="815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4 - Accent 3"/>
    <w:basedOn w:val="826"/>
    <w:next w:val="937"/>
    <w:link w:val="815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4 - Accent 4"/>
    <w:basedOn w:val="826"/>
    <w:next w:val="938"/>
    <w:link w:val="815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4 - Accent 5"/>
    <w:basedOn w:val="826"/>
    <w:next w:val="939"/>
    <w:link w:val="815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4 - Accent 6"/>
    <w:basedOn w:val="826"/>
    <w:next w:val="940"/>
    <w:link w:val="815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5 Dark- Accent 1"/>
    <w:basedOn w:val="826"/>
    <w:next w:val="941"/>
    <w:link w:val="815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5 Dark - Accent 2"/>
    <w:basedOn w:val="826"/>
    <w:next w:val="942"/>
    <w:link w:val="815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5 Dark - Accent 3"/>
    <w:basedOn w:val="826"/>
    <w:next w:val="943"/>
    <w:link w:val="815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5 Dark- Accent 4"/>
    <w:basedOn w:val="826"/>
    <w:next w:val="944"/>
    <w:link w:val="815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5 Dark - Accent 5"/>
    <w:basedOn w:val="826"/>
    <w:next w:val="945"/>
    <w:link w:val="815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5 Dark - Accent 6"/>
    <w:basedOn w:val="826"/>
    <w:next w:val="946"/>
    <w:link w:val="815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6 Colorful - Accent 1"/>
    <w:basedOn w:val="826"/>
    <w:next w:val="947"/>
    <w:link w:val="815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6 Colorful - Accent 2"/>
    <w:basedOn w:val="826"/>
    <w:next w:val="948"/>
    <w:link w:val="815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6 Colorful - Accent 3"/>
    <w:basedOn w:val="826"/>
    <w:next w:val="949"/>
    <w:link w:val="815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6 Colorful - Accent 4"/>
    <w:basedOn w:val="826"/>
    <w:next w:val="950"/>
    <w:link w:val="815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6 Colorful - Accent 5"/>
    <w:basedOn w:val="826"/>
    <w:next w:val="951"/>
    <w:link w:val="815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6 Colorful - Accent 6"/>
    <w:basedOn w:val="826"/>
    <w:next w:val="952"/>
    <w:link w:val="815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7 Colorful - Accent 1"/>
    <w:basedOn w:val="826"/>
    <w:next w:val="953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7 Colorful - Accent 2"/>
    <w:basedOn w:val="826"/>
    <w:next w:val="954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7 Colorful - Accent 3"/>
    <w:basedOn w:val="826"/>
    <w:next w:val="955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7 Colorful - Accent 4"/>
    <w:basedOn w:val="826"/>
    <w:next w:val="956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7 Colorful - Accent 5"/>
    <w:basedOn w:val="826"/>
    <w:next w:val="957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7 Colorful - Accent 6"/>
    <w:basedOn w:val="826"/>
    <w:next w:val="958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1 Light - Accent 1"/>
    <w:basedOn w:val="826"/>
    <w:next w:val="959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1 Light - Accent 2"/>
    <w:basedOn w:val="826"/>
    <w:next w:val="960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1 Light - Accent 3"/>
    <w:basedOn w:val="826"/>
    <w:next w:val="961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1 Light - Accent 4"/>
    <w:basedOn w:val="826"/>
    <w:next w:val="962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1 Light - Accent 5"/>
    <w:basedOn w:val="826"/>
    <w:next w:val="963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1 Light - Accent 6"/>
    <w:basedOn w:val="826"/>
    <w:next w:val="964"/>
    <w:link w:val="815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2 - Accent 1"/>
    <w:basedOn w:val="826"/>
    <w:next w:val="965"/>
    <w:link w:val="815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2 - Accent 2"/>
    <w:basedOn w:val="826"/>
    <w:next w:val="966"/>
    <w:link w:val="815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2 - Accent 3"/>
    <w:basedOn w:val="826"/>
    <w:next w:val="967"/>
    <w:link w:val="815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2 - Accent 4"/>
    <w:basedOn w:val="826"/>
    <w:next w:val="968"/>
    <w:link w:val="815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2 - Accent 5"/>
    <w:basedOn w:val="826"/>
    <w:next w:val="969"/>
    <w:link w:val="815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2 - Accent 6"/>
    <w:basedOn w:val="826"/>
    <w:next w:val="970"/>
    <w:link w:val="815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3 - Accent 1"/>
    <w:basedOn w:val="826"/>
    <w:next w:val="971"/>
    <w:link w:val="815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3 - Accent 2"/>
    <w:basedOn w:val="826"/>
    <w:next w:val="972"/>
    <w:link w:val="815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3 - Accent 3"/>
    <w:basedOn w:val="826"/>
    <w:next w:val="973"/>
    <w:link w:val="815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3 - Accent 4"/>
    <w:basedOn w:val="826"/>
    <w:next w:val="974"/>
    <w:link w:val="815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3 - Accent 5"/>
    <w:basedOn w:val="826"/>
    <w:next w:val="975"/>
    <w:link w:val="815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3 - Accent 6"/>
    <w:basedOn w:val="826"/>
    <w:next w:val="976"/>
    <w:link w:val="815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4 - Accent 1"/>
    <w:basedOn w:val="826"/>
    <w:next w:val="977"/>
    <w:link w:val="815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4 - Accent 2"/>
    <w:basedOn w:val="826"/>
    <w:next w:val="978"/>
    <w:link w:val="815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4 - Accent 3"/>
    <w:basedOn w:val="826"/>
    <w:next w:val="979"/>
    <w:link w:val="815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4 - Accent 4"/>
    <w:basedOn w:val="826"/>
    <w:next w:val="980"/>
    <w:link w:val="815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4 - Accent 5"/>
    <w:basedOn w:val="826"/>
    <w:next w:val="981"/>
    <w:link w:val="815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4 - Accent 6"/>
    <w:basedOn w:val="826"/>
    <w:next w:val="982"/>
    <w:link w:val="815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5 Dark - Accent 1"/>
    <w:basedOn w:val="826"/>
    <w:next w:val="983"/>
    <w:link w:val="815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5 Dark - Accent 2"/>
    <w:basedOn w:val="826"/>
    <w:next w:val="984"/>
    <w:link w:val="815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5 Dark - Accent 3"/>
    <w:basedOn w:val="826"/>
    <w:next w:val="985"/>
    <w:link w:val="815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5 Dark - Accent 4"/>
    <w:basedOn w:val="826"/>
    <w:next w:val="986"/>
    <w:link w:val="815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5 Dark - Accent 5"/>
    <w:basedOn w:val="826"/>
    <w:next w:val="987"/>
    <w:link w:val="815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5 Dark - Accent 6"/>
    <w:basedOn w:val="826"/>
    <w:next w:val="988"/>
    <w:link w:val="815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6 Colorful - Accent 1"/>
    <w:basedOn w:val="826"/>
    <w:next w:val="989"/>
    <w:link w:val="815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6 Colorful - Accent 2"/>
    <w:basedOn w:val="826"/>
    <w:next w:val="990"/>
    <w:link w:val="815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6 Colorful - Accent 3"/>
    <w:basedOn w:val="826"/>
    <w:next w:val="991"/>
    <w:link w:val="815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6 Colorful - Accent 4"/>
    <w:basedOn w:val="826"/>
    <w:next w:val="992"/>
    <w:link w:val="815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6 Colorful - Accent 5"/>
    <w:basedOn w:val="826"/>
    <w:next w:val="993"/>
    <w:link w:val="815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6 Colorful - Accent 6"/>
    <w:basedOn w:val="826"/>
    <w:next w:val="994"/>
    <w:link w:val="815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7 Colorful - Accent 1"/>
    <w:basedOn w:val="826"/>
    <w:next w:val="995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7 Colorful - Accent 2"/>
    <w:basedOn w:val="826"/>
    <w:next w:val="996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7 Colorful - Accent 3"/>
    <w:basedOn w:val="826"/>
    <w:next w:val="997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7 Colorful - Accent 4"/>
    <w:basedOn w:val="826"/>
    <w:next w:val="998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7 Colorful - Accent 5"/>
    <w:basedOn w:val="826"/>
    <w:next w:val="999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7 Colorful - Accent 6"/>
    <w:basedOn w:val="826"/>
    <w:next w:val="1000"/>
    <w:link w:val="815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ned - Accent"/>
    <w:basedOn w:val="826"/>
    <w:next w:val="1001"/>
    <w:link w:val="815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Bordered &amp; Lined - Accent"/>
    <w:basedOn w:val="826"/>
    <w:next w:val="1002"/>
    <w:link w:val="815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3">
    <w:name w:val="Заголовок 1 Знак"/>
    <w:next w:val="1003"/>
    <w:link w:val="816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004">
    <w:name w:val="Заголовок 2 Знак"/>
    <w:next w:val="1004"/>
    <w:link w:val="817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005">
    <w:name w:val="Заголовок 3 Знак"/>
    <w:next w:val="1005"/>
    <w:link w:val="81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1006">
    <w:name w:val="Заголовок 4 Знак"/>
    <w:next w:val="1006"/>
    <w:link w:val="8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1007">
    <w:name w:val="Заголовок 5 Знак"/>
    <w:next w:val="1007"/>
    <w:link w:val="82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1008">
    <w:name w:val="Заголовок 6 Знак"/>
    <w:next w:val="1008"/>
    <w:link w:val="821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1009">
    <w:name w:val="Заголовок 7 Знак"/>
    <w:next w:val="1009"/>
    <w:link w:val="822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1010">
    <w:name w:val="Заголовок 8 Знак"/>
    <w:next w:val="1010"/>
    <w:link w:val="823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1011">
    <w:name w:val="Заголовок 9 Знак"/>
    <w:next w:val="1011"/>
    <w:link w:val="8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1012">
    <w:name w:val="Абзац списку"/>
    <w:basedOn w:val="815"/>
    <w:next w:val="1012"/>
    <w:link w:val="815"/>
    <w:uiPriority w:val="34"/>
    <w:qFormat/>
    <w:pPr>
      <w:pBdr/>
      <w:spacing/>
      <w:ind w:left="720"/>
      <w:contextualSpacing w:val="true"/>
    </w:pPr>
  </w:style>
  <w:style w:type="paragraph" w:styleId="1013">
    <w:name w:val="Без інтервалів"/>
    <w:next w:val="1013"/>
    <w:link w:val="815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1014">
    <w:name w:val="Назва Знак"/>
    <w:next w:val="1014"/>
    <w:link w:val="874"/>
    <w:uiPriority w:val="10"/>
    <w:pPr>
      <w:pBdr/>
      <w:spacing/>
      <w:ind/>
    </w:pPr>
    <w:rPr>
      <w:sz w:val="48"/>
      <w:szCs w:val="48"/>
    </w:rPr>
  </w:style>
  <w:style w:type="character" w:styleId="1015">
    <w:name w:val="Підзаголовок Знак"/>
    <w:next w:val="1015"/>
    <w:link w:val="876"/>
    <w:uiPriority w:val="11"/>
    <w:pPr>
      <w:pBdr/>
      <w:spacing/>
      <w:ind/>
    </w:pPr>
    <w:rPr>
      <w:sz w:val="24"/>
      <w:szCs w:val="24"/>
    </w:rPr>
  </w:style>
  <w:style w:type="paragraph" w:styleId="1016">
    <w:name w:val="Цитата"/>
    <w:basedOn w:val="815"/>
    <w:next w:val="815"/>
    <w:link w:val="1017"/>
    <w:uiPriority w:val="29"/>
    <w:qFormat/>
    <w:pPr>
      <w:pBdr/>
      <w:spacing/>
      <w:ind w:right="720" w:left="720"/>
    </w:pPr>
    <w:rPr>
      <w:i/>
    </w:rPr>
  </w:style>
  <w:style w:type="character" w:styleId="1017">
    <w:name w:val="Цитата Знак"/>
    <w:next w:val="1017"/>
    <w:link w:val="1016"/>
    <w:uiPriority w:val="29"/>
    <w:pPr>
      <w:pBdr/>
      <w:spacing/>
      <w:ind/>
    </w:pPr>
    <w:rPr>
      <w:i/>
    </w:rPr>
  </w:style>
  <w:style w:type="paragraph" w:styleId="1018">
    <w:name w:val="Насичена цитата"/>
    <w:basedOn w:val="815"/>
    <w:next w:val="815"/>
    <w:link w:val="101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1019">
    <w:name w:val="Насичена цитата Знак"/>
    <w:next w:val="1019"/>
    <w:link w:val="1018"/>
    <w:uiPriority w:val="30"/>
    <w:pPr>
      <w:pBdr/>
      <w:spacing/>
      <w:ind/>
    </w:pPr>
    <w:rPr>
      <w:i/>
    </w:rPr>
  </w:style>
  <w:style w:type="character" w:styleId="1020">
    <w:name w:val="Верхній колонтитул Знак"/>
    <w:basedOn w:val="825"/>
    <w:next w:val="1020"/>
    <w:link w:val="864"/>
    <w:uiPriority w:val="99"/>
    <w:pPr>
      <w:pBdr/>
      <w:spacing/>
      <w:ind/>
    </w:pPr>
  </w:style>
  <w:style w:type="character" w:styleId="1021">
    <w:name w:val="Нижній колонтитул Знак"/>
    <w:basedOn w:val="825"/>
    <w:next w:val="1021"/>
    <w:link w:val="875"/>
    <w:uiPriority w:val="99"/>
    <w:pPr>
      <w:pBdr/>
      <w:spacing/>
      <w:ind/>
    </w:pPr>
  </w:style>
  <w:style w:type="table" w:styleId="1022">
    <w:name w:val="Lined"/>
    <w:basedOn w:val="826"/>
    <w:next w:val="1022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Lined - Accent 1"/>
    <w:basedOn w:val="826"/>
    <w:next w:val="1023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Lined - Accent 2"/>
    <w:basedOn w:val="826"/>
    <w:next w:val="1024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Lined - Accent 3"/>
    <w:basedOn w:val="826"/>
    <w:next w:val="1025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Lined - Accent 4"/>
    <w:basedOn w:val="826"/>
    <w:next w:val="1026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Lined - Accent 5"/>
    <w:basedOn w:val="826"/>
    <w:next w:val="1027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Lined - Accent 6"/>
    <w:basedOn w:val="826"/>
    <w:next w:val="1028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Bordered"/>
    <w:basedOn w:val="826"/>
    <w:next w:val="1029"/>
    <w:link w:val="815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Bordered - Accent 1"/>
    <w:basedOn w:val="826"/>
    <w:next w:val="1030"/>
    <w:link w:val="815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Bordered - Accent 2"/>
    <w:basedOn w:val="826"/>
    <w:next w:val="1031"/>
    <w:link w:val="815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Bordered - Accent 3"/>
    <w:basedOn w:val="826"/>
    <w:next w:val="1032"/>
    <w:link w:val="815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Bordered - Accent 4"/>
    <w:basedOn w:val="826"/>
    <w:next w:val="1033"/>
    <w:link w:val="815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Bordered - Accent 5"/>
    <w:basedOn w:val="826"/>
    <w:next w:val="1034"/>
    <w:link w:val="815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>
    <w:name w:val="Bordered - Accent 6"/>
    <w:basedOn w:val="826"/>
    <w:next w:val="1035"/>
    <w:link w:val="815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>
    <w:name w:val="Bordered &amp; Lined"/>
    <w:basedOn w:val="826"/>
    <w:next w:val="1036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Bordered &amp; Lined - Accent 1"/>
    <w:basedOn w:val="826"/>
    <w:next w:val="1037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Bordered &amp; Lined - Accent 2"/>
    <w:basedOn w:val="826"/>
    <w:next w:val="1038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Bordered &amp; Lined - Accent 3"/>
    <w:basedOn w:val="826"/>
    <w:next w:val="1039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Bordered &amp; Lined - Accent 4"/>
    <w:basedOn w:val="826"/>
    <w:next w:val="1040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Bordered &amp; Lined - Accent 5"/>
    <w:basedOn w:val="826"/>
    <w:next w:val="1041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Bordered &amp; Lined - Accent 6"/>
    <w:basedOn w:val="826"/>
    <w:next w:val="1042"/>
    <w:link w:val="815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43">
    <w:name w:val="Текст виноски Знак"/>
    <w:next w:val="1043"/>
    <w:link w:val="862"/>
    <w:uiPriority w:val="99"/>
    <w:pPr>
      <w:pBdr/>
      <w:spacing/>
      <w:ind/>
    </w:pPr>
    <w:rPr>
      <w:sz w:val="18"/>
    </w:rPr>
  </w:style>
  <w:style w:type="paragraph" w:styleId="1044">
    <w:name w:val="Заголовок оглавления1"/>
    <w:next w:val="1044"/>
    <w:link w:val="815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45">
    <w:name w:val="Текст у виносці Знак"/>
    <w:next w:val="1045"/>
    <w:link w:val="859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46">
    <w:name w:val="docdata"/>
    <w:basedOn w:val="815"/>
    <w:next w:val="1046"/>
    <w:link w:val="815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47">
    <w:name w:val="docy"/>
    <w:basedOn w:val="825"/>
    <w:next w:val="1047"/>
    <w:link w:val="815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Марцева  Тетяна  Іванівна</cp:lastModifiedBy>
  <cp:revision>10</cp:revision>
  <dcterms:created xsi:type="dcterms:W3CDTF">2026-02-06T08:27:00Z</dcterms:created>
  <dcterms:modified xsi:type="dcterms:W3CDTF">2026-02-11T13:39:06Z</dcterms:modified>
  <cp:version>1048576</cp:version>
</cp:coreProperties>
</file>