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ПОЛІТИКА ІНФОРМАЦІЙНОЇ БЕЗПЕКИ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firstLine="0" w:left="0"/>
        <w:jc w:val="center"/>
        <w:rPr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МЕНСЬКОЇ МІСЬКОЇ РАДИ 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left" w:leader="none" w:pos="8126"/>
        </w:tabs>
        <w:spacing w:after="0" w:afterAutospacing="0" w:before="0" w:beforeAutospacing="0" w:line="240" w:lineRule="auto"/>
        <w:ind w:right="0" w:firstLine="0" w:left="0"/>
        <w:jc w:val="lef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ЗАГАЛЬНІ ПОЛОЖЕННЯ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Політика інформаційної безпеки (далі — Політика) є головним внутрішнім нормативним актом Менської міської ради, що визначає сукупність норм, правил та практичних рекомендацій, спрямованих на захист інформаційних активів від будь-яких загроз.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firstLine="708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етою Політики є забезпечення: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Конфіденційності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(захист від несанкціонованого ознайомлення з даними);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Цілісності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(захист від несанкціонованої модифікації або знищення інформації);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Доступності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(забезпечення своєчасного та безперешкодного доступу легітимних користувачів до інформації).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firstLine="708" w:left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firstLine="708" w:left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Дія цієї Політики поширюється на: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33"/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Усі структурні підрозділи міської ради, їх посадових та службових осіб, а також технічний персонал.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Усі інформаційні, телекомунікаційні та інформаційно-комунікаційні системи (ІКС), що перебувають на балансі або в управлінні міської ради.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Усі види інформації: електронні бази даних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паперові документи,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усні комунікації (службові розмови)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та програмне забезпечення.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Вим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оги Політики є обов’язковими для виконання сторонніми організаціями та контрагентами, які отримують доступ до інформаці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йних ресурсів міської ради на підставі договорів.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Дана Політика розроблена відповідно до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Конституції України,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Закону України «Про місцеве самоврядування в Україні»,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Закону України «Про інформацію»,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Закoну України «Про доступ до публічної інформації»,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Закону України «Про захист інформації в інформаційно-комунікаційних системах»,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Закону Україн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«Про захист персональних даних»,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Закону України «Про основні засади забезпечення кібербезпеки України»,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ДСТУ ISO/IEC 27001:2015 «Інформаційні технології. Методи захисту. Системи управління інформаційною безпекою»,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НД ТЗІ 1.1-002-99 «Загальні положення щодо захисту інформації в комп'ютерних системах від несанкціонованого доступу».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Основними об’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єктами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що підлягають захисту, є: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Інформаційні ресурси: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персональні дані громадян, реєстри територіальної громади, фінансова та бухгалтерська звітність, проекти рішень та розпоряджень, службова кореспонденція.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Програмно-технічний комплекс: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сервери, робочі станції, мережеве обладнання, системне та прикладне ПЗ.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Канали передачі даних: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локальна мережа (LAN), бездротові мережі (Wi-Fi), VPN та WireGuad канали, шифровані канали доступу до серверів ОВА та доступ до мережі Інтернет.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firstLine="708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firstLine="708" w:left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Для потреб цієї Політики вся інформація в міській раді поділяється на: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33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Відкрита інформація: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доступна для публічного ознайомлення (рішення ради, новини на сайті).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Інформація з обмеженим доступом: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</w:tabs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</w:rPr>
        <w:t xml:space="preserve">Конфіденційна: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персональні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дані, інформація про стан здоров’я, паролі доступу та інше.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</w:tabs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</w:rPr>
        <w:t xml:space="preserve">Службова: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інформація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якій присвоєно гриф «Для службового користування» (ДСК).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firstLine="567" w:left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Політика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підл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ягає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обов'язковому перегляду не рідше одного разу на рік або у разі суттєвих змін в ІТ-інфраструктурі, законодавстві чи структурі міської ради.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hd w:val="nil" w:color="000000"/>
        <w:tabs>
          <w:tab w:val="clear" w:leader="none" w:pos="1134"/>
        </w:tabs>
        <w:spacing w:after="0" w:afterAutospacing="0" w:before="0" w:beforeAutospacing="0" w:line="240" w:lineRule="auto"/>
        <w:ind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firstLine="0"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РОЗПОДІЛ ОБОВ’ЯЗКІВ ТА ВІДПОВІДАЛЬНІСТЬ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</w:tabs>
        <w:spacing w:after="0" w:afterAutospacing="0" w:before="0" w:beforeAutospacing="0" w:line="240" w:lineRule="auto"/>
        <w:ind w:right="0" w:firstLine="567" w:left="0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Загальне керівництво системою інформаційної безпеки (ІБ) здійснює міський 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олова.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</w:tabs>
        <w:spacing w:after="0" w:afterAutospacing="0" w:before="0" w:beforeAutospacing="0" w:line="240" w:lineRule="auto"/>
        <w:ind w:right="0" w:firstLine="567" w:left="0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Координацію заходів та стратегічне планування здійснює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СДТО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визначає пріоритети захисту активів,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погоджує надання доступу до критичних систем,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ініціює службові розслідування за фактами порушень.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</w:tabs>
        <w:spacing w:after="0" w:afterAutospacing="0" w:before="0" w:beforeAutospacing="0" w:line="240" w:lineRule="auto"/>
        <w:ind w:right="0" w:firstLine="567" w:left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Від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діл цифрових трансформацій та кіберзахисту міської ради здійснює реалізацію заходів, а саме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Технічний контроль: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Забезпеч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ує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антивірусний захист, оновлення ПЗ та роботу міжмережевих екранів (firewalls).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Моніторинг: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Здійсн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ює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регулярний аудит журналів подій (logs) серверів та мережевого обладнання.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Резервування: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Налаштов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ує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та контрол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ює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щоденне резервне копіювання критичних баз даних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та службових файлів користувачів ІКС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Віддалений доступ: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Налаштов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ує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і забезпеч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ує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безперебійну роботу серверів VPN та WireGuard та відповідного ПЗ на стороні клієнта.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left" w:leader="none" w:pos="7796"/>
        </w:tabs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Облік активів: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Спільно з відділом бухгалтерського обліку та звітності здійснює ведення реєстру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комп’ютерного обладнання та програмного забезпечення, що використовується в міській раді.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</w:tabs>
        <w:spacing w:after="0" w:afterAutospacing="0" w:before="0" w:beforeAutospacing="0" w:line="240" w:lineRule="auto"/>
        <w:ind w:right="0" w:firstLine="567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Кожен працівник, який має доступ до комп’ютерної техніки, зобов’язаний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дотримуватись наступних правил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Парольна гігієна: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Використовувати складні паролі (не менше 8 символів, цифри,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букви,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різні регістри) та змінювати їх згідно з графіком.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Категорично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заборонено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записувати паролі на папері або передавати їх колегам.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Фізичний захист: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Блокувати сеанс роботи (Win+L) при кожному залишенні робочого місця, навіть на короткий час.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Поштова безпека: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Використовувати у своїй роботі виключно пошту в домені gov.ua. Не відкривати вкладення у підозрілих листах та не переходити за сумнівними посиланнями.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firstLine="708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firstLine="708" w:left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Працівникам суворо забороняється: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33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Самостійно встановлювати будь-яке ПЗ.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Відключати антивірусний захист або змінювати налаштування системної безпеки.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Використовувати службову електронну пошту для особистих цілей або реєстрації на сторонніх ресурсах (соцмережі, магазини).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Виносити комп’ютерну техніку або цифрові носії з будівлі міської ради без відповідного письмового дозволу.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Використовувати власні флеш-накопичувачі, смартфони або зовнішні диски для роботи зі службовою інформацією без дозволу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відділу цифрових трансформацій та кіберзахисту.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left" w:leader="none" w:pos="992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Невиконання вимог цієї Політики розцінюється як порушення трудової дисципліни.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left" w:leader="none" w:pos="992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 разі виявлення фактів навмисного пошкодження інформації, розголошення конфіденційних даних або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передачі доступу стороннім особам, працівник несе відповідальність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згідно з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Кодексом законів про працю України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(догана або звільнення),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Кримінальним кодексом України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(ст. 361–363-1, щодо незаконного втручання в роботу ЕОМ та мереж),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Законом України «Про запобігання корупції»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(у частині дотримання правил етики та роботи з інформацією).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/>
    </w:p>
    <w:p>
      <w:pPr>
        <w:pBdr/>
        <w:shd w:val="nil" w:color="000000"/>
        <w:tabs>
          <w:tab w:val="clear" w:leader="none" w:pos="1134"/>
        </w:tabs>
        <w:spacing w:after="0" w:afterAutospacing="0" w:before="0" w:beforeAutospacing="0" w:line="240" w:lineRule="auto"/>
        <w:ind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firstLine="0"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КЕРУВАННЯ ДОСТУПОМ ТА ПАРОЛЬНА ПОЛІТИКА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left" w:leader="none" w:pos="992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Доступ до інформаційних ресурсів міської ради надається виключно 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ndefined"/>
        </w:rPr>
        <w:t xml:space="preserve">підставі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принципу 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«мінімальних привілеїв»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 працівник отримує лише ті права, які необхідні для виконання його безпосередніх посадових обов'язків.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left" w:leader="none" w:pos="992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Доступ до конфіденційної інформації (персональні дані, фінансові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ndefined"/>
        </w:rPr>
        <w:t xml:space="preserve">документи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 надається лише після письмового погодження з керівником відповідного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підрозділу та фіксації цього факту спеціалістом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відділу цифрових трансформацій та кіберзахисту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left" w:leader="none" w:pos="992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Використ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ndefined"/>
        </w:rPr>
        <w:t xml:space="preserve">ання спільних (групових) облікових записів суворо заборонено. Кожен користувач повинен бути ідентифікований індивідуально.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ndefined" w:bidi="undefined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left" w:leader="none" w:pos="992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ndefined"/>
        </w:rPr>
        <w:t xml:space="preserve">Створення, зміна 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ndefined"/>
        </w:rPr>
        <w:t xml:space="preserve">видалення облікових записів здійснюється спеціалістом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ndefined"/>
        </w:rPr>
        <w:t xml:space="preserve"> від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ділу цифрових трансформацій та кіберзахисту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підставі службової записки або наказу про прийняття/звільнення/переведення працівника.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left" w:leader="none" w:pos="992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Обліковий запис звільненого працівника повинен бути заблокований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протягом 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однієї години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після офіційного звільнення або підписання обхідного листа.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left" w:leader="none" w:pos="992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ndefined"/>
        </w:rPr>
        <w:t xml:space="preserve">ікові записи, що не використовувалися понад 30 днів, автоматично деактивуються до з'ясування причин.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ndefined" w:bidi="undefined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left" w:leader="none" w:pos="992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ndefined"/>
        </w:rPr>
        <w:t xml:space="preserve">Усі паролі в інформаційних системах міської ради повинні відповідати наступним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критеріям: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Складність: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довжина не менше 8 символів; обов'язкова наявність великих та малих літер, цифр та спеціальних символів (наприклад, $, #, @, !).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Термін дії: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пароль підлягає примусовій зміні кожні 90 днів.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Історія: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забороняється використовувати 5 попередніх паролів.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Блокування: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після 5 невдалих спроб введення пароля обліковий запис блокується на 30 хвилин.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доступу до найбільш критичних систем (система електронного документообігу, фінансові кабінети, сервери баз даних) та віддаленого підключення (VPN) при можливості максимально використовувати </w:t>
      </w:r>
      <w:r>
        <w:rPr>
          <w:rFonts w:ascii="Arial" w:hAnsi="Arial" w:eastAsia="Arial" w:cs="Arial"/>
          <w:b/>
          <w:color w:val="000000" w:themeColor="text1"/>
          <w:sz w:val="24"/>
          <w:highlight w:val="white"/>
        </w:rPr>
        <w:t xml:space="preserve">MFA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або апаратний токен.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Віддалена робота з ресурсами міської ради дозволяється лише через захищені канали зв'язку (VPN з шифруванням або WireGuard з шифруванням).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Використання програм для віддаленого керування стороннього виробництва (AnyDesk, TeamViewer та інших) без погодження з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відділом цифрових трансформацій та кіберзахисту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заборонено.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Доступ до серверної кімнати дозволений лише адміністраторам мережі.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Будь-які візити сторонніх осіб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(технічне обслуговування тощо) здійснюються лише з дозволу СДТО.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Робочі станції працівників у кабінетах, де ведеться прийом громадян, повинні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бути розміщені так, щоб сторонні особи не могли бачити вміст екранів.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Після завершення робочого дня працівники зобов’язані вимикати комп’ютерн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 техніку або переводити її в режим захищеного сну, а паперові носії з конфіденційною інформацією прибирати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 сейфи або шафи, що замикаються (політика «чистого столу»).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АУДИТ ІНФОРМАЦІЙНОЇ БЕЗПЕКИ ТА МОНІТОРИНГ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Обов’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язковому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протоколюванню (логінгу) підлягають такі події в ІКС міської ради: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Вхід/вихід користувачів у систему (успішний та невдалий).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Зміни прав доступу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Cтворення нових облікових записів.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Інсталяція будь-якого програмного забезпечення.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Використання зовнішніх накопичувачів (USB, HDD).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firstLine="708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ndefined"/>
        </w:rPr>
        <w:t xml:space="preserve">Відділ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ІТ може впроваджувати автоматизовані системи збору логів (наприклад, SIEM-системи або централізовані журнали Windows/Linux).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ndefined"/>
        </w:rPr>
        <w:t xml:space="preserve">Відділом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цифрових трансфо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рмацій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та кіберзахисту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проводяться регулярні перевірки (внутрішній аудит):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33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hanging="283" w:left="709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щотижнево: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Перегляд звітів про критичні помилки безпеки та невдалі спроби входу (brute-force атаки).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hanging="283" w:left="709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щомісяця: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Вибіркова перевірка робочих місць на предмет наявності несанкціонованого ПЗ та дотримання політики «чистого столу».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hanging="283"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щоквартально: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Звірка актуальних облікових записів із кадровим штатом (виявлення «забутих» акаунтів).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 потребою: Аналіз мережевого трафіку (запити до підозрілих або заборонених ресурсів).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Для проведення зовнішнього аудиту та тестування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міська рада може залучати сп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еціалізовані організації для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проведення незалежного аудиту кібербезпеки або тестування на проникнення (penetration testing). Рекомендовано раз на рік.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Відділом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цифрових трансформацій може проводитись моніторинг викори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стання мережі Інтернету працівниками міської ради з метою 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апобігання витоку даних та переходу на фішингові ресурси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hd w:val="nil" w:color="000000"/>
        <w:tabs>
          <w:tab w:val="clear" w:leader="none" w:pos="1134"/>
        </w:tabs>
        <w:spacing w:after="0" w:afterAutospacing="0" w:before="0" w:beforeAutospacing="0" w:line="240" w:lineRule="auto"/>
        <w:ind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firstLine="0"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ПОРЯДОК РЕАГУВАННЯ НА ІНЦИДЕНТИ ІНФОРМАЦІЙНОЇ БЕЗПЕКИ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Всі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ndefined"/>
        </w:rPr>
        <w:t xml:space="preserve">події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безпеки поділяються на: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Низький рівень: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Одиничне зараження вірусом робочої станції, спам-розсилка.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Середній рівень: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Спроби підбору паролів (brute-force), порушення роботи окремого сервісу (наприклад, сайту), втрата флеш-носія зі службовими даними.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Високий рівень (Критичний):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Злам бази даних персональних даних, робота вірусу-шифрувальника, несанкціонований доступ до бухгалтерських та фінансових систем, повна зупинка мережі ради.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виявленні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ознак інциденту (зникнення файлів, поява дивних вікон, повідомлення про викуп,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значне уповільнення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роботи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ПК) працівник зобов’язаний: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Негайно припинити роботу.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Фізично від’єднати комп’ютер від мережі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(витягнути мережевий кабель або вимкнути Wi-Fi).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Не вимикати живлення комп’ютера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 щоб не видалити сліди атаки в оперативній пам'яті (якщо інше не передбачено інструкцією).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Повідомити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відділ цифрових трансформацій та кіберзахисту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телефоном або особисто.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Не намагатися самостійно вирішити проблему.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Відповідальні особи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відділу цифрових трансформацій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та кіберзахисту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після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ndefined"/>
        </w:rPr>
        <w:t xml:space="preserve">отримання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сигналу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про інцидент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виконують такі кроки: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Локалізація: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Ізоляція ураженої ділянки мережі для запобігання поширенню загрози (відключення сегментів мережі, блокування портів).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Аналіз: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Визначення джерела атаки, типу шкідливого ПЗ та обсягу скомпрометованої інформації.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Елімінація: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Видалення шкідливого коду, зміна скомпрометованих паролів, закриття вразливостей, через які стався злам.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Відновлення: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Повернення систем до нормальної роботи з використанням «чистих» резервних копій.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 разі критичного інциденту (кібератаки на об’єкти критичної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ndefined"/>
        </w:rPr>
        <w:t xml:space="preserve">інфраструктури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або витоку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персональних чи фінансових даних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 протягом 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24 годин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проінформувати: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відділ кібербезпеки Чернігівську ОВА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Держспецзв’язку (CERT-UA)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— через офіційний сайт або гарячу лінію.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Кіберполіцію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— у разі виявлення ознак злочину.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3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Службу безпеки України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— у випадках, що стосуються нацбезпеки.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firstLine="708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ndefined"/>
        </w:rPr>
        <w:t xml:space="preserve">ідповідальні особи за інформаційну безпеку в своїй роботі повинні  керуватись розпорядженням міського голови № 149 від 26 травня 2025 року “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ndefined"/>
        </w:rPr>
        <w:t xml:space="preserve">Про затверд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ndefined"/>
        </w:rPr>
        <w:t xml:space="preserve">ження плану реагування на кіберінциденти та кібератаки в Менській міській раді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ndefined"/>
        </w:rPr>
        <w:t xml:space="preserve">”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ndefined" w:bidi="undefined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ndefined"/>
        </w:rPr>
        <w:t xml:space="preserve">Після ліквідації наслідків інциде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ndefined"/>
        </w:rPr>
        <w:t xml:space="preserve">нту Відповідальна особа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ndefined"/>
        </w:rPr>
        <w:t xml:space="preserve">за інформаційну безпеку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ndefined"/>
        </w:rPr>
        <w:t xml:space="preserve"> зо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бов’язана провести інструктаж із причетним персоналом та, за потреби, внести зміни до налаштувань безпеки або тексту цієї Політики.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Bdr/>
        <w:shd w:val="nil" w:color="000000"/>
        <w:tabs>
          <w:tab w:val="clear" w:leader="none" w:pos="1134"/>
        </w:tabs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Bdr/>
        <w:shd w:val="nil" w:color="000000"/>
        <w:tabs>
          <w:tab w:val="clear" w:leader="none" w:pos="1134"/>
        </w:tabs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Bdr/>
        <w:shd w:val="nil" w:color="000000"/>
        <w:tabs>
          <w:tab w:val="clear" w:leader="none" w:pos="1134"/>
        </w:tabs>
        <w:spacing w:after="0" w:afterAutospacing="0" w:before="0" w:beforeAutospacing="0" w:line="240" w:lineRule="auto"/>
        <w:ind w:right="0" w:firstLine="0" w:left="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Начальник відділу цифрових трансформацій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Bdr/>
        <w:shd w:val="nil" w:color="000000"/>
        <w:tabs>
          <w:tab w:val="clear" w:leader="none" w:pos="1134"/>
          <w:tab w:val="left" w:leader="none" w:pos="6803"/>
        </w:tabs>
        <w:spacing w:after="0" w:afterAutospacing="0" w:before="0" w:beforeAutospacing="0" w:line="240" w:lineRule="auto"/>
        <w:ind w:right="0" w:firstLine="0" w:left="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та кіберзахисту Менської міської ради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ab/>
        <w:t xml:space="preserve">Володимир КОРДАШ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5669" w:left="0"/>
      <w:jc w:val="left"/>
      <w:rPr>
        <w:highlight w:val="none"/>
      </w:rPr>
    </w:pPr>
    <w:r>
      <w:t xml:space="preserve">Додаток </w:t>
    </w:r>
    <w:r>
      <w:rPr>
        <w:highlight w:val="none"/>
      </w:rPr>
    </w:r>
    <w:r>
      <w:rPr>
        <w:highlight w:val="none"/>
      </w:rPr>
    </w:r>
  </w:p>
  <w:p>
    <w:pPr>
      <w:pBdr/>
      <w:spacing/>
      <w:ind w:right="0" w:firstLine="5669" w:left="0"/>
      <w:jc w:val="left"/>
      <w:rPr>
        <w:highlight w:val="none"/>
      </w:rPr>
    </w:pPr>
    <w:r>
      <w:rPr>
        <w:highlight w:val="none"/>
      </w:rPr>
      <w:t xml:space="preserve">до розпорядження </w:t>
    </w:r>
    <w:r>
      <w:rPr>
        <w:highlight w:val="none"/>
      </w:rPr>
    </w:r>
    <w:r>
      <w:rPr>
        <w:highlight w:val="none"/>
      </w:rPr>
    </w:r>
  </w:p>
  <w:p>
    <w:pPr>
      <w:pBdr/>
      <w:spacing/>
      <w:ind w:right="0" w:firstLine="5669" w:left="0"/>
      <w:jc w:val="left"/>
      <w:rPr>
        <w:highlight w:val="none"/>
      </w:rPr>
    </w:pPr>
    <w:r>
      <w:rPr>
        <w:highlight w:val="none"/>
      </w:rPr>
      <w:t xml:space="preserve">міського</w:t>
    </w:r>
    <w:r>
      <w:t xml:space="preserve"> </w:t>
    </w:r>
    <w:r>
      <w:rPr>
        <w:highlight w:val="none"/>
      </w:rPr>
      <w:t xml:space="preserve">голови</w:t>
    </w:r>
    <w:r>
      <w:rPr>
        <w:highlight w:val="none"/>
      </w:rPr>
    </w:r>
    <w:r>
      <w:rPr>
        <w:highlight w:val="none"/>
      </w:rPr>
    </w:r>
  </w:p>
  <w:p>
    <w:pPr>
      <w:pBdr/>
      <w:spacing/>
      <w:ind w:right="0" w:firstLine="5669" w:left="0"/>
      <w:jc w:val="left"/>
      <w:rPr>
        <w:highlight w:val="none"/>
      </w:rPr>
    </w:pPr>
    <w:r>
      <w:rPr>
        <w:highlight w:val="none"/>
      </w:rPr>
      <w:t xml:space="preserve">11 лютого 2026 року № 50</w:t>
    </w:r>
    <w:r>
      <w:rPr>
        <w:highlight w:val="none"/>
      </w:rPr>
    </w:r>
    <w:r>
      <w:rPr>
        <w:highlight w:val="non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</w:abstractNum>
  <w:abstractNum w:abstractNumId="5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0a0a0a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</w:abstractNum>
  <w:abstractNum w:abstractNumId="7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0a0a0a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4">
    <w:name w:val="Placeholder Text"/>
    <w:basedOn w:val="984"/>
    <w:uiPriority w:val="99"/>
    <w:semiHidden/>
    <w:pPr>
      <w:pBdr/>
      <w:spacing/>
      <w:ind/>
    </w:pPr>
    <w:rPr>
      <w:color w:val="666666"/>
    </w:rPr>
  </w:style>
  <w:style w:type="character" w:styleId="795">
    <w:name w:val="Intense Emphasis"/>
    <w:basedOn w:val="98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96">
    <w:name w:val="Intense Reference"/>
    <w:basedOn w:val="98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97">
    <w:name w:val="Subtle Emphasis"/>
    <w:basedOn w:val="98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8">
    <w:name w:val="Emphasis"/>
    <w:basedOn w:val="984"/>
    <w:uiPriority w:val="20"/>
    <w:qFormat/>
    <w:pPr>
      <w:pBdr/>
      <w:spacing/>
      <w:ind/>
    </w:pPr>
    <w:rPr>
      <w:i/>
      <w:iCs/>
    </w:rPr>
  </w:style>
  <w:style w:type="character" w:styleId="799">
    <w:name w:val="Strong"/>
    <w:basedOn w:val="984"/>
    <w:uiPriority w:val="22"/>
    <w:qFormat/>
    <w:pPr>
      <w:pBdr/>
      <w:spacing/>
      <w:ind/>
    </w:pPr>
    <w:rPr>
      <w:b/>
      <w:bCs/>
    </w:rPr>
  </w:style>
  <w:style w:type="character" w:styleId="800">
    <w:name w:val="Subtle Reference"/>
    <w:basedOn w:val="98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01">
    <w:name w:val="Book Title"/>
    <w:basedOn w:val="98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02">
    <w:name w:val="FollowedHyperlink"/>
    <w:basedOn w:val="98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03">
    <w:name w:val="Caption"/>
    <w:basedOn w:val="983"/>
    <w:next w:val="98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4">
    <w:name w:val="Caption Char"/>
    <w:basedOn w:val="803"/>
    <w:link w:val="945"/>
    <w:uiPriority w:val="99"/>
    <w:pPr>
      <w:pBdr/>
      <w:spacing/>
      <w:ind/>
    </w:pPr>
  </w:style>
  <w:style w:type="paragraph" w:styleId="805">
    <w:name w:val="endnote text"/>
    <w:basedOn w:val="983"/>
    <w:link w:val="80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06">
    <w:name w:val="Endnote Text Char"/>
    <w:link w:val="805"/>
    <w:uiPriority w:val="99"/>
    <w:pPr>
      <w:pBdr/>
      <w:spacing/>
      <w:ind/>
    </w:pPr>
    <w:rPr>
      <w:sz w:val="20"/>
    </w:rPr>
  </w:style>
  <w:style w:type="character" w:styleId="807">
    <w:name w:val="endnote reference"/>
    <w:basedOn w:val="984"/>
    <w:uiPriority w:val="99"/>
    <w:semiHidden/>
    <w:unhideWhenUsed/>
    <w:pPr>
      <w:pBdr/>
      <w:spacing/>
      <w:ind/>
    </w:pPr>
    <w:rPr>
      <w:vertAlign w:val="superscript"/>
    </w:rPr>
  </w:style>
  <w:style w:type="paragraph" w:styleId="808">
    <w:name w:val="table of figures"/>
    <w:basedOn w:val="983"/>
    <w:next w:val="983"/>
    <w:uiPriority w:val="99"/>
    <w:unhideWhenUsed/>
    <w:pPr>
      <w:pBdr/>
      <w:spacing w:after="0" w:afterAutospacing="0"/>
      <w:ind/>
    </w:pPr>
  </w:style>
  <w:style w:type="table" w:styleId="809">
    <w:name w:val="Table Grid Light"/>
    <w:basedOn w:val="9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Plain Table 1"/>
    <w:basedOn w:val="9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2"/>
    <w:basedOn w:val="9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1 Light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4"/>
    <w:basedOn w:val="9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 - Accent 1"/>
    <w:basedOn w:val="9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 - Accent 2"/>
    <w:basedOn w:val="9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 - Accent 3"/>
    <w:basedOn w:val="9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- Accent 4"/>
    <w:basedOn w:val="9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- Accent 5"/>
    <w:basedOn w:val="9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- Accent 6"/>
    <w:basedOn w:val="9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5 Dark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5 Dark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6 Colorful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7 Colorful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1 Light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5 Dark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6 Colorful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7 Colorful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ned - Accent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5">
    <w:name w:val="Heading 1"/>
    <w:basedOn w:val="983"/>
    <w:next w:val="983"/>
    <w:link w:val="91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916">
    <w:name w:val="Heading 1 Char"/>
    <w:basedOn w:val="984"/>
    <w:link w:val="91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917">
    <w:name w:val="Heading 2"/>
    <w:basedOn w:val="983"/>
    <w:next w:val="983"/>
    <w:link w:val="91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918">
    <w:name w:val="Heading 2 Char"/>
    <w:basedOn w:val="984"/>
    <w:link w:val="91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919">
    <w:name w:val="Heading 3"/>
    <w:basedOn w:val="983"/>
    <w:next w:val="983"/>
    <w:link w:val="92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920">
    <w:name w:val="Heading 3 Char"/>
    <w:basedOn w:val="984"/>
    <w:link w:val="91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921">
    <w:name w:val="Heading 4"/>
    <w:basedOn w:val="983"/>
    <w:next w:val="983"/>
    <w:link w:val="92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22">
    <w:name w:val="Heading 4 Char"/>
    <w:basedOn w:val="984"/>
    <w:link w:val="92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923">
    <w:name w:val="Heading 5"/>
    <w:basedOn w:val="983"/>
    <w:next w:val="983"/>
    <w:link w:val="92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24">
    <w:name w:val="Heading 5 Char"/>
    <w:basedOn w:val="984"/>
    <w:link w:val="92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925">
    <w:name w:val="Heading 6"/>
    <w:basedOn w:val="983"/>
    <w:next w:val="983"/>
    <w:link w:val="92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26">
    <w:name w:val="Heading 6 Char"/>
    <w:basedOn w:val="984"/>
    <w:link w:val="92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927">
    <w:name w:val="Heading 7"/>
    <w:basedOn w:val="983"/>
    <w:next w:val="983"/>
    <w:link w:val="92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28">
    <w:name w:val="Heading 7 Char"/>
    <w:basedOn w:val="984"/>
    <w:link w:val="92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29">
    <w:name w:val="Heading 8"/>
    <w:basedOn w:val="983"/>
    <w:next w:val="983"/>
    <w:link w:val="93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30">
    <w:name w:val="Heading 8 Char"/>
    <w:basedOn w:val="984"/>
    <w:link w:val="92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931">
    <w:name w:val="Heading 9"/>
    <w:basedOn w:val="983"/>
    <w:next w:val="983"/>
    <w:link w:val="93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32">
    <w:name w:val="Heading 9 Char"/>
    <w:basedOn w:val="984"/>
    <w:link w:val="93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33">
    <w:name w:val="List Paragraph"/>
    <w:basedOn w:val="983"/>
    <w:uiPriority w:val="34"/>
    <w:qFormat/>
    <w:pPr>
      <w:pBdr/>
      <w:spacing/>
      <w:ind w:left="720"/>
      <w:contextualSpacing w:val="true"/>
    </w:pPr>
  </w:style>
  <w:style w:type="paragraph" w:styleId="934">
    <w:name w:val="No Spacing"/>
    <w:uiPriority w:val="1"/>
    <w:qFormat/>
    <w:pPr>
      <w:pBdr/>
      <w:spacing w:after="0" w:before="0" w:line="240" w:lineRule="auto"/>
      <w:ind/>
    </w:pPr>
  </w:style>
  <w:style w:type="paragraph" w:styleId="935">
    <w:name w:val="Title"/>
    <w:basedOn w:val="983"/>
    <w:next w:val="983"/>
    <w:link w:val="93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36">
    <w:name w:val="Title Char"/>
    <w:basedOn w:val="984"/>
    <w:link w:val="935"/>
    <w:uiPriority w:val="10"/>
    <w:pPr>
      <w:pBdr/>
      <w:spacing/>
      <w:ind/>
    </w:pPr>
    <w:rPr>
      <w:sz w:val="48"/>
      <w:szCs w:val="48"/>
    </w:rPr>
  </w:style>
  <w:style w:type="paragraph" w:styleId="937">
    <w:name w:val="Subtitle"/>
    <w:basedOn w:val="983"/>
    <w:next w:val="983"/>
    <w:link w:val="93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38">
    <w:name w:val="Subtitle Char"/>
    <w:basedOn w:val="984"/>
    <w:link w:val="937"/>
    <w:uiPriority w:val="11"/>
    <w:pPr>
      <w:pBdr/>
      <w:spacing/>
      <w:ind/>
    </w:pPr>
    <w:rPr>
      <w:sz w:val="24"/>
      <w:szCs w:val="24"/>
    </w:rPr>
  </w:style>
  <w:style w:type="paragraph" w:styleId="939">
    <w:name w:val="Quote"/>
    <w:basedOn w:val="983"/>
    <w:next w:val="983"/>
    <w:link w:val="940"/>
    <w:uiPriority w:val="29"/>
    <w:qFormat/>
    <w:pPr>
      <w:pBdr/>
      <w:spacing/>
      <w:ind w:right="720" w:left="720"/>
    </w:pPr>
    <w:rPr>
      <w:i/>
    </w:rPr>
  </w:style>
  <w:style w:type="character" w:styleId="940">
    <w:name w:val="Quote Char"/>
    <w:link w:val="939"/>
    <w:uiPriority w:val="29"/>
    <w:pPr>
      <w:pBdr/>
      <w:spacing/>
      <w:ind/>
    </w:pPr>
    <w:rPr>
      <w:i/>
    </w:rPr>
  </w:style>
  <w:style w:type="paragraph" w:styleId="941">
    <w:name w:val="Intense Quote"/>
    <w:basedOn w:val="983"/>
    <w:next w:val="983"/>
    <w:link w:val="94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942">
    <w:name w:val="Intense Quote Char"/>
    <w:link w:val="941"/>
    <w:uiPriority w:val="30"/>
    <w:pPr>
      <w:pBdr/>
      <w:spacing/>
      <w:ind/>
    </w:pPr>
    <w:rPr>
      <w:i/>
    </w:rPr>
  </w:style>
  <w:style w:type="paragraph" w:styleId="943">
    <w:name w:val="Header"/>
    <w:basedOn w:val="983"/>
    <w:link w:val="94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44">
    <w:name w:val="Header Char"/>
    <w:basedOn w:val="984"/>
    <w:link w:val="943"/>
    <w:uiPriority w:val="99"/>
    <w:pPr>
      <w:pBdr/>
      <w:spacing/>
      <w:ind/>
    </w:pPr>
  </w:style>
  <w:style w:type="paragraph" w:styleId="945">
    <w:name w:val="Footer"/>
    <w:basedOn w:val="983"/>
    <w:link w:val="94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46">
    <w:name w:val="Footer Char"/>
    <w:basedOn w:val="984"/>
    <w:link w:val="945"/>
    <w:uiPriority w:val="99"/>
    <w:pPr>
      <w:pBdr/>
      <w:spacing/>
      <w:ind/>
    </w:pPr>
  </w:style>
  <w:style w:type="table" w:styleId="947">
    <w:name w:val="Table Grid"/>
    <w:basedOn w:val="9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ned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ned - Accent 1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ned - Accent 2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ned - Accent 3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ned - Accent 4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ned - Accent 5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ned - Accent 6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Bordered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Bordered - Accent 1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Bordered - Accent 2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Bordered - Accent 3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 - Accent 4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Bordered - Accent 5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Bordered - Accent 6"/>
    <w:basedOn w:val="9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Bordered &amp; Lined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Bordered &amp; Lined - Accent 1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Bordered &amp; Lined - Accent 2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 &amp; Lined - Accent 3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Bordered &amp; Lined - Accent 4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Bordered &amp; Lined - Accent 5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Bordered &amp; Lined - Accent 6"/>
    <w:basedOn w:val="9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70">
    <w:name w:val="footnote text"/>
    <w:basedOn w:val="983"/>
    <w:link w:val="97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71">
    <w:name w:val="Footnote Text Char"/>
    <w:link w:val="970"/>
    <w:uiPriority w:val="99"/>
    <w:pPr>
      <w:pBdr/>
      <w:spacing/>
      <w:ind/>
    </w:pPr>
    <w:rPr>
      <w:sz w:val="18"/>
    </w:rPr>
  </w:style>
  <w:style w:type="character" w:styleId="972">
    <w:name w:val="footnote reference"/>
    <w:basedOn w:val="984"/>
    <w:uiPriority w:val="99"/>
    <w:unhideWhenUsed/>
    <w:pPr>
      <w:pBdr/>
      <w:spacing/>
      <w:ind/>
    </w:pPr>
    <w:rPr>
      <w:vertAlign w:val="superscript"/>
    </w:rPr>
  </w:style>
  <w:style w:type="paragraph" w:styleId="973">
    <w:name w:val="toc 1"/>
    <w:basedOn w:val="983"/>
    <w:next w:val="983"/>
    <w:uiPriority w:val="39"/>
    <w:unhideWhenUsed/>
    <w:pPr>
      <w:pBdr/>
      <w:spacing w:after="57"/>
      <w:ind w:right="0" w:firstLine="0" w:left="0"/>
    </w:pPr>
  </w:style>
  <w:style w:type="paragraph" w:styleId="974">
    <w:name w:val="toc 2"/>
    <w:basedOn w:val="983"/>
    <w:next w:val="983"/>
    <w:uiPriority w:val="39"/>
    <w:unhideWhenUsed/>
    <w:pPr>
      <w:pBdr/>
      <w:spacing w:after="57"/>
      <w:ind w:right="0" w:firstLine="0" w:left="283"/>
    </w:pPr>
  </w:style>
  <w:style w:type="paragraph" w:styleId="975">
    <w:name w:val="toc 3"/>
    <w:basedOn w:val="983"/>
    <w:next w:val="983"/>
    <w:uiPriority w:val="39"/>
    <w:unhideWhenUsed/>
    <w:pPr>
      <w:pBdr/>
      <w:spacing w:after="57"/>
      <w:ind w:right="0" w:firstLine="0" w:left="567"/>
    </w:pPr>
  </w:style>
  <w:style w:type="paragraph" w:styleId="976">
    <w:name w:val="toc 4"/>
    <w:basedOn w:val="983"/>
    <w:next w:val="983"/>
    <w:uiPriority w:val="39"/>
    <w:unhideWhenUsed/>
    <w:pPr>
      <w:pBdr/>
      <w:spacing w:after="57"/>
      <w:ind w:right="0" w:firstLine="0" w:left="850"/>
    </w:pPr>
  </w:style>
  <w:style w:type="paragraph" w:styleId="977">
    <w:name w:val="toc 5"/>
    <w:basedOn w:val="983"/>
    <w:next w:val="983"/>
    <w:uiPriority w:val="39"/>
    <w:unhideWhenUsed/>
    <w:pPr>
      <w:pBdr/>
      <w:spacing w:after="57"/>
      <w:ind w:right="0" w:firstLine="0" w:left="1134"/>
    </w:pPr>
  </w:style>
  <w:style w:type="paragraph" w:styleId="978">
    <w:name w:val="toc 6"/>
    <w:basedOn w:val="983"/>
    <w:next w:val="983"/>
    <w:uiPriority w:val="39"/>
    <w:unhideWhenUsed/>
    <w:pPr>
      <w:pBdr/>
      <w:spacing w:after="57"/>
      <w:ind w:right="0" w:firstLine="0" w:left="1417"/>
    </w:pPr>
  </w:style>
  <w:style w:type="paragraph" w:styleId="979">
    <w:name w:val="toc 7"/>
    <w:basedOn w:val="983"/>
    <w:next w:val="983"/>
    <w:uiPriority w:val="39"/>
    <w:unhideWhenUsed/>
    <w:pPr>
      <w:pBdr/>
      <w:spacing w:after="57"/>
      <w:ind w:right="0" w:firstLine="0" w:left="1701"/>
    </w:pPr>
  </w:style>
  <w:style w:type="paragraph" w:styleId="980">
    <w:name w:val="toc 8"/>
    <w:basedOn w:val="983"/>
    <w:next w:val="983"/>
    <w:uiPriority w:val="39"/>
    <w:unhideWhenUsed/>
    <w:pPr>
      <w:pBdr/>
      <w:spacing w:after="57"/>
      <w:ind w:right="0" w:firstLine="0" w:left="1984"/>
    </w:pPr>
  </w:style>
  <w:style w:type="paragraph" w:styleId="981">
    <w:name w:val="toc 9"/>
    <w:basedOn w:val="983"/>
    <w:next w:val="983"/>
    <w:uiPriority w:val="39"/>
    <w:unhideWhenUsed/>
    <w:pPr>
      <w:pBdr/>
      <w:spacing w:after="57"/>
      <w:ind w:right="0" w:firstLine="0" w:left="2268"/>
    </w:pPr>
  </w:style>
  <w:style w:type="paragraph" w:styleId="982">
    <w:name w:val="TOC Heading"/>
    <w:uiPriority w:val="39"/>
    <w:unhideWhenUsed/>
    <w:pPr>
      <w:pBdr/>
      <w:spacing/>
      <w:ind/>
    </w:pPr>
  </w:style>
  <w:style w:type="paragraph" w:styleId="98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84" w:default="1">
    <w:name w:val="Default Paragraph Font"/>
    <w:uiPriority w:val="1"/>
    <w:semiHidden/>
    <w:unhideWhenUsed/>
    <w:pPr>
      <w:pBdr/>
      <w:spacing/>
      <w:ind/>
    </w:pPr>
  </w:style>
  <w:style w:type="table" w:styleId="98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8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СТАЛЬНИЧЕНКО Юрій Валерійович</cp:lastModifiedBy>
  <cp:revision>16</cp:revision>
  <dcterms:modified xsi:type="dcterms:W3CDTF">2026-02-12T06:22:43Z</dcterms:modified>
</cp:coreProperties>
</file>