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27AB7" w14:textId="77777777" w:rsidR="00E04026" w:rsidRDefault="00E04026">
      <w:pPr>
        <w:spacing w:after="0" w:line="240" w:lineRule="auto"/>
        <w:ind w:left="6379"/>
        <w:jc w:val="both"/>
        <w:rPr>
          <w:rFonts w:eastAsia="Batang"/>
          <w:color w:val="000000" w:themeColor="text1"/>
          <w:sz w:val="24"/>
          <w:szCs w:val="24"/>
          <w:lang w:val="az-Cyrl-AZ" w:eastAsia="ru-RU"/>
        </w:rPr>
      </w:pPr>
    </w:p>
    <w:p w14:paraId="3E384B95" w14:textId="41C08671" w:rsidR="00AB5CF7" w:rsidRDefault="002B723D">
      <w:pPr>
        <w:spacing w:after="0" w:line="240" w:lineRule="auto"/>
        <w:ind w:left="6379"/>
        <w:jc w:val="both"/>
        <w:rPr>
          <w:bCs/>
          <w:iCs/>
          <w:sz w:val="24"/>
          <w:szCs w:val="24"/>
          <w:lang w:val="az-Cyrl-AZ"/>
        </w:rPr>
      </w:pPr>
      <w:r>
        <w:rPr>
          <w:rFonts w:eastAsia="Batang"/>
          <w:color w:val="000000" w:themeColor="text1"/>
          <w:sz w:val="24"/>
          <w:szCs w:val="24"/>
          <w:lang w:val="az-Cyrl-AZ" w:eastAsia="ru-RU"/>
        </w:rPr>
        <w:t>Д</w:t>
      </w:r>
      <w:r>
        <w:rPr>
          <w:bCs/>
          <w:iCs/>
          <w:sz w:val="24"/>
          <w:szCs w:val="24"/>
          <w:lang w:val="az-Cyrl-AZ" w:eastAsia="ru-RU"/>
        </w:rPr>
        <w:t>одаток</w:t>
      </w:r>
    </w:p>
    <w:p w14:paraId="10B86FF8" w14:textId="2494298E" w:rsidR="00AB5CF7" w:rsidRPr="00465B1E" w:rsidRDefault="002B723D">
      <w:pPr>
        <w:spacing w:after="0" w:line="240" w:lineRule="auto"/>
        <w:ind w:left="6379"/>
        <w:jc w:val="both"/>
        <w:rPr>
          <w:b/>
          <w:bCs/>
          <w:iCs/>
          <w:sz w:val="24"/>
          <w:szCs w:val="24"/>
          <w:lang w:val="az-Cyrl-AZ" w:eastAsia="ru-RU"/>
        </w:rPr>
      </w:pPr>
      <w:r w:rsidRPr="00465B1E">
        <w:rPr>
          <w:b/>
          <w:bCs/>
          <w:iCs/>
          <w:sz w:val="24"/>
          <w:szCs w:val="24"/>
          <w:lang w:val="az-Cyrl-AZ" w:eastAsia="ru-RU"/>
        </w:rPr>
        <w:t>до рішення</w:t>
      </w:r>
      <w:r w:rsidR="00A30F85">
        <w:rPr>
          <w:b/>
          <w:bCs/>
          <w:iCs/>
          <w:sz w:val="24"/>
          <w:szCs w:val="24"/>
          <w:lang w:val="az-Cyrl-AZ" w:eastAsia="ru-RU"/>
        </w:rPr>
        <w:t xml:space="preserve"> </w:t>
      </w:r>
      <w:r w:rsidRPr="00465B1E">
        <w:rPr>
          <w:b/>
          <w:bCs/>
          <w:iCs/>
          <w:sz w:val="24"/>
          <w:szCs w:val="24"/>
          <w:lang w:val="az-Cyrl-AZ" w:eastAsia="ru-RU"/>
        </w:rPr>
        <w:t xml:space="preserve"> </w:t>
      </w:r>
      <w:r w:rsidR="000872C2">
        <w:rPr>
          <w:b/>
          <w:bCs/>
          <w:iCs/>
          <w:sz w:val="24"/>
          <w:szCs w:val="24"/>
          <w:lang w:val="az-Cyrl-AZ" w:eastAsia="ru-RU"/>
        </w:rPr>
        <w:t>69</w:t>
      </w:r>
      <w:r w:rsidRPr="00465B1E">
        <w:rPr>
          <w:b/>
          <w:bCs/>
          <w:iCs/>
          <w:sz w:val="24"/>
          <w:szCs w:val="24"/>
          <w:lang w:val="az-Cyrl-AZ" w:eastAsia="ru-RU"/>
        </w:rPr>
        <w:t xml:space="preserve"> сесії Менської міської ради 8 скликання</w:t>
      </w:r>
      <w:r w:rsidR="00870530" w:rsidRPr="00465B1E">
        <w:rPr>
          <w:b/>
          <w:bCs/>
          <w:iCs/>
          <w:sz w:val="24"/>
          <w:szCs w:val="24"/>
          <w:lang w:val="az-Cyrl-AZ" w:eastAsia="ru-RU"/>
        </w:rPr>
        <w:t xml:space="preserve"> </w:t>
      </w:r>
    </w:p>
    <w:p w14:paraId="0EAC3299" w14:textId="4B310BA6" w:rsidR="00AB5CF7" w:rsidRPr="00465B1E" w:rsidRDefault="00DB3013">
      <w:pPr>
        <w:spacing w:after="0" w:line="240" w:lineRule="auto"/>
        <w:ind w:left="6379"/>
        <w:jc w:val="both"/>
        <w:rPr>
          <w:rFonts w:eastAsia="Batang" w:cs="Calibri"/>
          <w:b/>
          <w:sz w:val="44"/>
          <w:szCs w:val="44"/>
          <w:lang w:val="az-Cyrl-AZ"/>
        </w:rPr>
      </w:pPr>
      <w:r>
        <w:rPr>
          <w:b/>
          <w:bCs/>
          <w:iCs/>
          <w:sz w:val="24"/>
          <w:szCs w:val="24"/>
          <w:lang w:val="az-Cyrl-AZ" w:eastAsia="ru-RU"/>
        </w:rPr>
        <w:t>28</w:t>
      </w:r>
      <w:r w:rsidR="002B723D" w:rsidRPr="00465B1E">
        <w:rPr>
          <w:b/>
          <w:bCs/>
          <w:iCs/>
          <w:sz w:val="24"/>
          <w:szCs w:val="24"/>
          <w:lang w:val="az-Cyrl-AZ" w:eastAsia="ru-RU"/>
        </w:rPr>
        <w:t xml:space="preserve"> </w:t>
      </w:r>
      <w:r w:rsidR="00C47AFA">
        <w:rPr>
          <w:b/>
          <w:bCs/>
          <w:iCs/>
          <w:sz w:val="24"/>
          <w:szCs w:val="24"/>
          <w:lang w:val="az-Cyrl-AZ" w:eastAsia="ru-RU"/>
        </w:rPr>
        <w:t>січ</w:t>
      </w:r>
      <w:r>
        <w:rPr>
          <w:b/>
          <w:bCs/>
          <w:iCs/>
          <w:sz w:val="24"/>
          <w:szCs w:val="24"/>
          <w:lang w:val="az-Cyrl-AZ" w:eastAsia="ru-RU"/>
        </w:rPr>
        <w:t>ня</w:t>
      </w:r>
      <w:r w:rsidR="00870530" w:rsidRPr="00465B1E">
        <w:rPr>
          <w:b/>
          <w:bCs/>
          <w:iCs/>
          <w:sz w:val="24"/>
          <w:szCs w:val="24"/>
          <w:lang w:val="az-Cyrl-AZ" w:eastAsia="ru-RU"/>
        </w:rPr>
        <w:t xml:space="preserve"> </w:t>
      </w:r>
      <w:r w:rsidR="002B723D" w:rsidRPr="00465B1E">
        <w:rPr>
          <w:b/>
          <w:bCs/>
          <w:iCs/>
          <w:sz w:val="24"/>
          <w:szCs w:val="24"/>
          <w:lang w:val="az-Cyrl-AZ" w:eastAsia="ru-RU"/>
        </w:rPr>
        <w:t>202</w:t>
      </w:r>
      <w:r w:rsidR="008E5E18">
        <w:rPr>
          <w:b/>
          <w:bCs/>
          <w:iCs/>
          <w:sz w:val="24"/>
          <w:szCs w:val="24"/>
          <w:lang w:val="az-Cyrl-AZ" w:eastAsia="ru-RU"/>
        </w:rPr>
        <w:t>6</w:t>
      </w:r>
      <w:r w:rsidR="002B723D" w:rsidRPr="00465B1E">
        <w:rPr>
          <w:b/>
          <w:bCs/>
          <w:iCs/>
          <w:sz w:val="24"/>
          <w:szCs w:val="24"/>
          <w:lang w:val="az-Cyrl-AZ" w:eastAsia="ru-RU"/>
        </w:rPr>
        <w:t xml:space="preserve"> року  №</w:t>
      </w:r>
      <w:r w:rsidR="00DB5C49">
        <w:rPr>
          <w:b/>
          <w:bCs/>
          <w:iCs/>
          <w:sz w:val="24"/>
          <w:szCs w:val="24"/>
          <w:lang w:val="az-Cyrl-AZ" w:eastAsia="ru-RU"/>
        </w:rPr>
        <w:t xml:space="preserve"> </w:t>
      </w:r>
      <w:r>
        <w:rPr>
          <w:b/>
          <w:bCs/>
          <w:iCs/>
          <w:sz w:val="24"/>
          <w:szCs w:val="24"/>
          <w:lang w:val="az-Cyrl-AZ" w:eastAsia="ru-RU"/>
        </w:rPr>
        <w:t>24</w:t>
      </w:r>
      <w:bookmarkStart w:id="0" w:name="_GoBack"/>
      <w:bookmarkEnd w:id="0"/>
    </w:p>
    <w:p w14:paraId="7F1DBF37" w14:textId="77777777" w:rsidR="00AB5CF7" w:rsidRDefault="00AB5CF7">
      <w:pPr>
        <w:spacing w:after="0" w:line="240" w:lineRule="auto"/>
        <w:ind w:left="6379"/>
        <w:jc w:val="both"/>
        <w:rPr>
          <w:rFonts w:eastAsia="Batang" w:cs="Calibri"/>
          <w:color w:val="000000" w:themeColor="text1"/>
          <w:sz w:val="44"/>
          <w:szCs w:val="44"/>
          <w:lang w:val="az-Cyrl-AZ"/>
        </w:rPr>
      </w:pPr>
    </w:p>
    <w:p w14:paraId="333DA48E" w14:textId="77777777" w:rsidR="00AB5CF7" w:rsidRDefault="00AB5CF7">
      <w:pPr>
        <w:spacing w:after="0" w:line="240" w:lineRule="auto"/>
        <w:rPr>
          <w:rFonts w:eastAsia="Batang" w:cs="Calibri"/>
          <w:color w:val="000000" w:themeColor="text1"/>
          <w:sz w:val="52"/>
          <w:szCs w:val="52"/>
          <w:lang w:val="uk-UA"/>
        </w:rPr>
      </w:pPr>
    </w:p>
    <w:p w14:paraId="5EDEB3ED" w14:textId="77777777" w:rsidR="00AB5CF7" w:rsidRDefault="00AB5CF7">
      <w:pPr>
        <w:spacing w:after="0" w:line="240" w:lineRule="auto"/>
        <w:rPr>
          <w:rFonts w:eastAsia="Batang" w:cs="Calibri"/>
          <w:color w:val="000000" w:themeColor="text1"/>
          <w:sz w:val="52"/>
          <w:szCs w:val="52"/>
          <w:lang w:val="uk-UA"/>
        </w:rPr>
      </w:pPr>
    </w:p>
    <w:p w14:paraId="20A96ADC" w14:textId="77777777" w:rsidR="00AB5CF7" w:rsidRDefault="00AB5CF7">
      <w:pPr>
        <w:spacing w:after="0" w:line="240" w:lineRule="auto"/>
        <w:rPr>
          <w:rFonts w:eastAsia="Batang" w:cs="Calibri"/>
          <w:color w:val="000000" w:themeColor="text1"/>
          <w:sz w:val="52"/>
          <w:szCs w:val="52"/>
          <w:lang w:val="uk-UA"/>
        </w:rPr>
      </w:pPr>
    </w:p>
    <w:p w14:paraId="1E7532A5" w14:textId="77777777" w:rsidR="00AB5CF7" w:rsidRDefault="00AB5CF7">
      <w:pPr>
        <w:spacing w:after="0" w:line="240" w:lineRule="auto"/>
        <w:rPr>
          <w:rFonts w:eastAsia="Batang" w:cs="Calibri"/>
          <w:color w:val="000000" w:themeColor="text1"/>
          <w:sz w:val="52"/>
          <w:szCs w:val="52"/>
          <w:lang w:val="uk-UA"/>
        </w:rPr>
      </w:pPr>
    </w:p>
    <w:p w14:paraId="1124AAAD" w14:textId="77777777" w:rsidR="00AB5CF7" w:rsidRDefault="00AB5CF7">
      <w:pPr>
        <w:spacing w:after="0" w:line="240" w:lineRule="auto"/>
        <w:rPr>
          <w:rFonts w:eastAsia="Batang" w:cs="Calibri"/>
          <w:color w:val="000000" w:themeColor="text1"/>
          <w:sz w:val="52"/>
          <w:szCs w:val="52"/>
          <w:lang w:val="uk-UA"/>
        </w:rPr>
      </w:pPr>
    </w:p>
    <w:p w14:paraId="46B4744E" w14:textId="77777777" w:rsidR="00AB5CF7" w:rsidRDefault="00AB5CF7">
      <w:pPr>
        <w:spacing w:after="0" w:line="240" w:lineRule="auto"/>
        <w:rPr>
          <w:rFonts w:eastAsia="Batang" w:cs="Calibri"/>
          <w:color w:val="000000" w:themeColor="text1"/>
          <w:sz w:val="52"/>
          <w:szCs w:val="52"/>
          <w:lang w:val="uk-UA"/>
        </w:rPr>
      </w:pPr>
    </w:p>
    <w:p w14:paraId="13DEBCCA" w14:textId="77777777" w:rsidR="00AB5CF7" w:rsidRDefault="002B723D">
      <w:pPr>
        <w:tabs>
          <w:tab w:val="left" w:pos="2400"/>
        </w:tabs>
        <w:spacing w:after="0" w:line="240" w:lineRule="auto"/>
        <w:jc w:val="center"/>
        <w:rPr>
          <w:rFonts w:eastAsia="Calibri"/>
          <w:b/>
          <w:bCs/>
          <w:color w:val="000000" w:themeColor="text1"/>
          <w:sz w:val="36"/>
          <w:szCs w:val="36"/>
          <w:lang w:val="uk-UA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ПРОГРАМА </w:t>
      </w:r>
    </w:p>
    <w:p w14:paraId="62FD4CCD" w14:textId="77777777" w:rsidR="00AB5CF7" w:rsidRDefault="002B723D">
      <w:pPr>
        <w:tabs>
          <w:tab w:val="left" w:pos="2400"/>
        </w:tabs>
        <w:spacing w:after="0" w:line="240" w:lineRule="auto"/>
        <w:jc w:val="center"/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розвитку позашкільної освіти </w:t>
      </w:r>
    </w:p>
    <w:p w14:paraId="2A782FE3" w14:textId="77777777" w:rsidR="00AB5CF7" w:rsidRDefault="002B723D">
      <w:pPr>
        <w:tabs>
          <w:tab w:val="left" w:pos="2400"/>
        </w:tabs>
        <w:spacing w:after="0" w:line="240" w:lineRule="auto"/>
        <w:jc w:val="center"/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 на 2025 – 2027 роки </w:t>
      </w:r>
    </w:p>
    <w:p w14:paraId="5FD1E204" w14:textId="77777777" w:rsidR="0037003D" w:rsidRPr="0037003D" w:rsidRDefault="0037003D">
      <w:pPr>
        <w:tabs>
          <w:tab w:val="left" w:pos="2400"/>
        </w:tabs>
        <w:spacing w:after="0" w:line="240" w:lineRule="auto"/>
        <w:jc w:val="center"/>
        <w:rPr>
          <w:rFonts w:eastAsia="Calibri"/>
          <w:b/>
          <w:bCs/>
          <w:color w:val="000000" w:themeColor="text1"/>
          <w:sz w:val="36"/>
          <w:szCs w:val="36"/>
          <w:lang w:val="uk-UA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/>
        </w:rPr>
        <w:t>(в новій редакції)</w:t>
      </w:r>
    </w:p>
    <w:p w14:paraId="11D8A965" w14:textId="77777777" w:rsidR="00AB5CF7" w:rsidRDefault="00AB5CF7">
      <w:pPr>
        <w:spacing w:after="0" w:line="240" w:lineRule="auto"/>
        <w:jc w:val="center"/>
        <w:rPr>
          <w:rFonts w:eastAsia="Calibri"/>
          <w:color w:val="000000" w:themeColor="text1"/>
          <w:sz w:val="28"/>
          <w:szCs w:val="28"/>
        </w:rPr>
      </w:pPr>
    </w:p>
    <w:p w14:paraId="3FE7376C" w14:textId="77777777" w:rsidR="00AB5CF7" w:rsidRDefault="00AB5CF7">
      <w:pPr>
        <w:spacing w:after="0" w:line="240" w:lineRule="auto"/>
        <w:rPr>
          <w:rFonts w:eastAsia="Batang" w:cs="Calibri"/>
          <w:color w:val="000000" w:themeColor="text1"/>
          <w:sz w:val="52"/>
          <w:szCs w:val="52"/>
        </w:rPr>
      </w:pPr>
    </w:p>
    <w:p w14:paraId="2445F8C3" w14:textId="77777777" w:rsidR="00AB5CF7" w:rsidRDefault="00AB5CF7">
      <w:pPr>
        <w:spacing w:after="120" w:line="240" w:lineRule="auto"/>
        <w:jc w:val="center"/>
        <w:rPr>
          <w:rFonts w:eastAsia="Batang" w:cs="Calibri"/>
          <w:b/>
          <w:bCs/>
          <w:color w:val="000000" w:themeColor="text1"/>
          <w:sz w:val="36"/>
          <w:szCs w:val="36"/>
        </w:rPr>
      </w:pPr>
    </w:p>
    <w:p w14:paraId="2B65121B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5F74514D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0C5FD95B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54223E7E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40C437B9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429A86C7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3D316094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2A52D0E7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4624FE2B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14377FB5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302AEC31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79B3D86F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038302DA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541127A8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312B364B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61CEA20D" w14:textId="77777777" w:rsidR="00AB5CF7" w:rsidRDefault="00AB5CF7">
      <w:pPr>
        <w:spacing w:after="0" w:line="240" w:lineRule="auto"/>
        <w:jc w:val="center"/>
        <w:rPr>
          <w:rFonts w:eastAsia="Batang" w:cs="Calibri"/>
          <w:color w:val="000000" w:themeColor="text1"/>
          <w:sz w:val="28"/>
          <w:szCs w:val="28"/>
        </w:rPr>
      </w:pPr>
    </w:p>
    <w:p w14:paraId="4F2BBF83" w14:textId="77777777" w:rsidR="00AB5CF7" w:rsidRDefault="00AB5CF7">
      <w:pPr>
        <w:spacing w:after="0" w:line="240" w:lineRule="auto"/>
        <w:rPr>
          <w:rFonts w:eastAsia="Batang" w:cs="Calibri"/>
          <w:b/>
          <w:bCs/>
          <w:color w:val="000000" w:themeColor="text1"/>
          <w:sz w:val="28"/>
          <w:szCs w:val="28"/>
        </w:rPr>
      </w:pPr>
    </w:p>
    <w:p w14:paraId="5C5EE8EB" w14:textId="77777777" w:rsidR="00AB5CF7" w:rsidRDefault="002B723D">
      <w:pPr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br w:type="page" w:clear="all"/>
      </w:r>
    </w:p>
    <w:p w14:paraId="401A6187" w14:textId="77777777" w:rsidR="00AB5CF7" w:rsidRDefault="002B723D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lastRenderedPageBreak/>
        <w:t>1. Паспорт Програми</w:t>
      </w:r>
    </w:p>
    <w:p w14:paraId="4F1C4FEF" w14:textId="77777777" w:rsidR="00AB5CF7" w:rsidRDefault="00AB5CF7">
      <w:pPr>
        <w:tabs>
          <w:tab w:val="left" w:pos="2400"/>
        </w:tabs>
        <w:spacing w:after="0" w:line="240" w:lineRule="auto"/>
        <w:jc w:val="center"/>
        <w:rPr>
          <w:rFonts w:eastAsia="Calibri"/>
          <w:color w:val="000000" w:themeColor="text1"/>
          <w:sz w:val="28"/>
          <w:szCs w:val="28"/>
        </w:rPr>
      </w:pPr>
    </w:p>
    <w:tbl>
      <w:tblPr>
        <w:tblW w:w="9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3188"/>
        <w:gridCol w:w="5512"/>
      </w:tblGrid>
      <w:tr w:rsidR="00AB5CF7" w14:paraId="15EEEFAB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6024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bookmarkStart w:id="1" w:name="_Hlk183442227"/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F02A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Назва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3FBE" w14:textId="77777777" w:rsidR="00AB5CF7" w:rsidRDefault="002B723D">
            <w:pPr>
              <w:tabs>
                <w:tab w:val="left" w:pos="2400"/>
              </w:tabs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Програма розвитку позашкільної освіти </w:t>
            </w:r>
          </w:p>
          <w:p w14:paraId="4C4F369C" w14:textId="77777777" w:rsidR="00AB5CF7" w:rsidRDefault="002B723D">
            <w:pPr>
              <w:tabs>
                <w:tab w:val="left" w:pos="2400"/>
              </w:tabs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на 2025 – 2027 роки </w:t>
            </w:r>
          </w:p>
        </w:tc>
      </w:tr>
      <w:tr w:rsidR="00AB5CF7" w:rsidRPr="00DB3013" w14:paraId="3B73BBAB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34E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2F2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9CD0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</w:p>
        </w:tc>
      </w:tr>
      <w:tr w:rsidR="00AB5CF7" w14:paraId="4A9BD657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5C5F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8CC4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Підстава для розробки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1664" w14:textId="77777777" w:rsidR="00AB5CF7" w:rsidRDefault="002B723D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 w:eastAsia="ru-RU"/>
              </w:rPr>
              <w:t>Закони України «Про освіту»,  «Про позашкільну освіту»</w:t>
            </w:r>
          </w:p>
        </w:tc>
      </w:tr>
      <w:tr w:rsidR="00AB5CF7" w:rsidRPr="00DB3013" w14:paraId="1F023882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A38B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E078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0E52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</w:p>
        </w:tc>
      </w:tr>
      <w:tr w:rsidR="00AB5CF7" w:rsidRPr="00DB3013" w14:paraId="0F88839C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891A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74EE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0B5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</w:p>
        </w:tc>
      </w:tr>
      <w:tr w:rsidR="00AB5CF7" w:rsidRPr="00DB3013" w14:paraId="23DA91D5" w14:textId="77777777">
        <w:trPr>
          <w:trHeight w:val="842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AAF7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72CE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Учасники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F2FC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Менська міська рада, відділ освіти Менської міської ради,  фінансове управління Менської міської ради, Комунальна установа «Центр професійного розвитку педагогічних працівників Менської міської ради», Комунальна установа «Центр з обслуговування освітніх установ та закладів освіти», заклади позашкільної освіти</w:t>
            </w:r>
          </w:p>
        </w:tc>
      </w:tr>
      <w:tr w:rsidR="00AB5CF7" w14:paraId="4450769A" w14:textId="77777777">
        <w:trPr>
          <w:trHeight w:val="842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4A0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3319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Дія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3008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Дія програми поширюється на територію населених пунктів, які увійшли до складу Менської міської територіальної громади</w:t>
            </w:r>
          </w:p>
        </w:tc>
      </w:tr>
      <w:tr w:rsidR="00AB5CF7" w14:paraId="4F8C4780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C7A9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96CD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32B4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 – 2027 роки</w:t>
            </w:r>
          </w:p>
          <w:p w14:paraId="08160361" w14:textId="77777777" w:rsidR="00AB5CF7" w:rsidRDefault="00AB5CF7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</w:p>
        </w:tc>
      </w:tr>
      <w:tr w:rsidR="00AB5CF7" w:rsidRPr="00730A7F" w14:paraId="498A26F4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A3B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F661" w14:textId="77777777" w:rsidR="00AB5CF7" w:rsidRDefault="00146DB5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Джерела фінансування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C51F" w14:textId="77777777" w:rsidR="00AB5CF7" w:rsidRDefault="00730A7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 Менської міської територіальної громади, інші джерела фінансування, не заборонені законодавством України</w:t>
            </w:r>
          </w:p>
        </w:tc>
      </w:tr>
      <w:tr w:rsidR="00AB5CF7" w14:paraId="712C9D1C" w14:textId="77777777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3FAC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8BF0" w14:textId="77777777" w:rsidR="00AB5CF7" w:rsidRDefault="002B723D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Загальний орієнтовний обсяг фінансових ресурсів, необхідних для реалізації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9F5" w14:textId="77777777" w:rsidR="00AB5CF7" w:rsidRDefault="002B723D">
            <w:pPr>
              <w:keepNext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Всього – </w:t>
            </w:r>
            <w:r w:rsidR="001A09AE" w:rsidRPr="00405038">
              <w:rPr>
                <w:b/>
                <w:bCs/>
                <w:sz w:val="28"/>
                <w:szCs w:val="28"/>
                <w:shd w:val="clear" w:color="auto" w:fill="FFFFFF" w:themeFill="background1"/>
                <w:lang w:val="uk-UA"/>
              </w:rPr>
              <w:t>877 660</w:t>
            </w:r>
          </w:p>
          <w:p w14:paraId="1C668178" w14:textId="77777777" w:rsidR="00AB5CF7" w:rsidRDefault="00AB5CF7">
            <w:pPr>
              <w:keepNext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381AB8B" w14:textId="77777777" w:rsidR="00AB5CF7" w:rsidRDefault="002B723D">
            <w:pPr>
              <w:spacing w:after="0" w:line="240" w:lineRule="auto"/>
              <w:ind w:hanging="5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2025 рік  –  </w:t>
            </w:r>
            <w:r w:rsidR="001A09AE" w:rsidRPr="00405038">
              <w:rPr>
                <w:b/>
                <w:sz w:val="28"/>
                <w:szCs w:val="28"/>
                <w:lang w:val="uk-UA"/>
              </w:rPr>
              <w:t>275 660</w:t>
            </w:r>
          </w:p>
          <w:p w14:paraId="409EA9E5" w14:textId="77777777" w:rsidR="00AB5CF7" w:rsidRDefault="002B723D">
            <w:pPr>
              <w:spacing w:after="0" w:line="240" w:lineRule="auto"/>
              <w:ind w:hanging="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2026 рік  –  </w:t>
            </w:r>
            <w:r>
              <w:rPr>
                <w:b/>
                <w:sz w:val="28"/>
                <w:szCs w:val="28"/>
                <w:lang w:val="uk-UA"/>
              </w:rPr>
              <w:t>287 000</w:t>
            </w:r>
          </w:p>
          <w:p w14:paraId="21E88B16" w14:textId="77777777" w:rsidR="00AB5CF7" w:rsidRDefault="002B723D">
            <w:pPr>
              <w:spacing w:after="0" w:line="240" w:lineRule="auto"/>
              <w:ind w:hanging="5"/>
              <w:jc w:val="center"/>
              <w:rPr>
                <w:b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2027 рік  –  </w:t>
            </w:r>
            <w:r>
              <w:rPr>
                <w:b/>
                <w:sz w:val="28"/>
                <w:szCs w:val="28"/>
                <w:lang w:val="uk-UA"/>
              </w:rPr>
              <w:t>315 000</w:t>
            </w:r>
            <w:bookmarkEnd w:id="1"/>
          </w:p>
        </w:tc>
      </w:tr>
    </w:tbl>
    <w:p w14:paraId="57943E5F" w14:textId="77777777" w:rsidR="00AB5CF7" w:rsidRDefault="00AB5CF7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</w:p>
    <w:p w14:paraId="6D299E72" w14:textId="77777777" w:rsidR="00AB5CF7" w:rsidRDefault="00AB5CF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70B076BE" w14:textId="77777777" w:rsidR="00AB5CF7" w:rsidRDefault="002B723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ru-RU"/>
        </w:rPr>
        <w:br w:type="page" w:clear="all"/>
      </w:r>
    </w:p>
    <w:p w14:paraId="3CC856A0" w14:textId="77777777" w:rsidR="00DC3B02" w:rsidRDefault="00595A07" w:rsidP="00C95D3D">
      <w:pPr>
        <w:keepNext/>
        <w:widowControl w:val="0"/>
        <w:tabs>
          <w:tab w:val="right" w:pos="7767"/>
        </w:tabs>
        <w:spacing w:after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lastRenderedPageBreak/>
        <w:t>2. Загальні положення</w:t>
      </w:r>
    </w:p>
    <w:p w14:paraId="6CB01ED9" w14:textId="77777777" w:rsidR="00C3598A" w:rsidRDefault="00C3598A" w:rsidP="00C3598A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Позашкільна освіта є невід’ємним складником системи освіти, визначеної Конституцією України, законами України «Про освіту», «Про позашкільну освіту» і спрямована на розвиток здібностей дітей та молоді у сфері освіти, науки, культури, фізичної культури і спорту, технічної та іншої творчості, здобуття ними первинних професійних знань, вмінь і навичок, необхідних для їх соціалізації, подальшої самореалізації та/або професійної діяльності.</w:t>
      </w:r>
    </w:p>
    <w:p w14:paraId="3B9C6C29" w14:textId="77777777" w:rsidR="00595A07" w:rsidRDefault="00595A07" w:rsidP="00C3598A">
      <w:pPr>
        <w:spacing w:after="0" w:line="240" w:lineRule="auto"/>
        <w:jc w:val="both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Важливу роль у вихованні підростаючого покоління відіграє позашкільна освіта, яка на сьогодні є чи не єдиною формою, де дитина може реалізуватися в творчості. До того ж, заклади позашкільної  освіти  нерідко виступають осередками порятунку від занедбаності в сім’ї, байдужості дорослих, виправлення уже набутого негативного досвіду, відволікають підлітків від негативного впливу вулиці.</w:t>
      </w:r>
    </w:p>
    <w:p w14:paraId="7AEE2826" w14:textId="77777777" w:rsidR="008D48F0" w:rsidRDefault="008D48F0" w:rsidP="008D48F0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Менськ</w:t>
      </w:r>
      <w:r w:rsidR="009D73F6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територіальн</w:t>
      </w:r>
      <w:r w:rsidR="00B178A4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громад</w:t>
      </w:r>
      <w:r w:rsidR="00B178A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функціонує </w:t>
      </w:r>
      <w:r w:rsidRPr="001E1976">
        <w:rPr>
          <w:sz w:val="28"/>
          <w:szCs w:val="28"/>
          <w:lang w:val="uk-UA"/>
        </w:rPr>
        <w:t xml:space="preserve">2 заклади позашкільної освіти: </w:t>
      </w:r>
      <w:r>
        <w:rPr>
          <w:sz w:val="28"/>
          <w:szCs w:val="28"/>
          <w:lang w:val="uk-UA"/>
        </w:rPr>
        <w:t xml:space="preserve">Менський Центр дитячої та юнацької творчості, Менська дитячо-юнацька спортивна школа,  у яких визначені основні напрями освітньої діяльності закладів позашкільної освіти: художньо-естетичний, музичний, </w:t>
      </w:r>
      <w:proofErr w:type="spellStart"/>
      <w:r>
        <w:rPr>
          <w:sz w:val="28"/>
          <w:szCs w:val="28"/>
          <w:lang w:val="uk-UA"/>
        </w:rPr>
        <w:t>декоративно</w:t>
      </w:r>
      <w:proofErr w:type="spellEnd"/>
      <w:r>
        <w:rPr>
          <w:sz w:val="28"/>
          <w:szCs w:val="28"/>
          <w:lang w:val="uk-UA"/>
        </w:rPr>
        <w:t>-ужиткового мистецтва, спортивний, гуманітарний, науково-технічний</w:t>
      </w:r>
      <w:r w:rsidR="00530768">
        <w:rPr>
          <w:sz w:val="28"/>
          <w:szCs w:val="28"/>
          <w:lang w:val="uk-UA"/>
        </w:rPr>
        <w:t xml:space="preserve">, гуманітарний, </w:t>
      </w:r>
      <w:r>
        <w:rPr>
          <w:sz w:val="28"/>
          <w:szCs w:val="28"/>
          <w:lang w:val="uk-UA"/>
        </w:rPr>
        <w:t xml:space="preserve"> </w:t>
      </w:r>
      <w:r w:rsidR="00530768">
        <w:rPr>
          <w:sz w:val="28"/>
          <w:szCs w:val="28"/>
          <w:lang w:val="uk-UA"/>
        </w:rPr>
        <w:t xml:space="preserve">еколого-натуралістичний </w:t>
      </w:r>
      <w:r>
        <w:rPr>
          <w:sz w:val="28"/>
          <w:szCs w:val="28"/>
          <w:lang w:val="uk-UA"/>
        </w:rPr>
        <w:t xml:space="preserve">тощо. </w:t>
      </w:r>
    </w:p>
    <w:p w14:paraId="1D87300B" w14:textId="77777777" w:rsidR="00B178A4" w:rsidRDefault="00B178A4" w:rsidP="00B178A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1E1976" w:rsidRPr="001E1976">
        <w:rPr>
          <w:sz w:val="28"/>
          <w:szCs w:val="28"/>
          <w:lang w:val="uk-UA"/>
        </w:rPr>
        <w:t xml:space="preserve"> Менському центрі дитячої та юнацької творчості -  50 груп, </w:t>
      </w:r>
      <w:r>
        <w:rPr>
          <w:sz w:val="28"/>
          <w:szCs w:val="28"/>
          <w:lang w:val="uk-UA"/>
        </w:rPr>
        <w:t xml:space="preserve">які охоплюють 650 вихованців. Діє три творчих колективи – це танцювальні «Веселий каблучок», «Барвінок» та Зразковий спортивно-цирковий колектив «Фієста». </w:t>
      </w:r>
      <w:r w:rsidR="00C83683">
        <w:rPr>
          <w:sz w:val="28"/>
          <w:szCs w:val="28"/>
          <w:lang w:val="uk-UA"/>
        </w:rPr>
        <w:t xml:space="preserve">Функціонують гуртки </w:t>
      </w:r>
      <w:r w:rsidR="000E68E0">
        <w:rPr>
          <w:sz w:val="28"/>
          <w:szCs w:val="28"/>
          <w:lang w:val="uk-UA"/>
        </w:rPr>
        <w:t>різних</w:t>
      </w:r>
      <w:r w:rsidR="00C83683">
        <w:rPr>
          <w:sz w:val="28"/>
          <w:szCs w:val="28"/>
          <w:lang w:val="uk-UA"/>
        </w:rPr>
        <w:t xml:space="preserve"> напрямків </w:t>
      </w:r>
      <w:r w:rsidR="000E68E0">
        <w:rPr>
          <w:sz w:val="28"/>
          <w:szCs w:val="28"/>
          <w:lang w:val="uk-UA"/>
        </w:rPr>
        <w:t xml:space="preserve">таких </w:t>
      </w:r>
      <w:r w:rsidR="00C83683">
        <w:rPr>
          <w:sz w:val="28"/>
          <w:szCs w:val="28"/>
          <w:lang w:val="uk-UA"/>
        </w:rPr>
        <w:t xml:space="preserve">як: художньо-естетичний, фізкультурно-спортивний, науково-технічний, гуманітарний, </w:t>
      </w:r>
      <w:r w:rsidR="000A3280">
        <w:rPr>
          <w:sz w:val="28"/>
          <w:szCs w:val="28"/>
          <w:lang w:val="uk-UA"/>
        </w:rPr>
        <w:t>еколого-натуралістичний.</w:t>
      </w:r>
    </w:p>
    <w:p w14:paraId="664AE1BF" w14:textId="77777777" w:rsidR="00310E42" w:rsidRPr="006C3971" w:rsidRDefault="00310E42" w:rsidP="00310E42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6C3971">
        <w:rPr>
          <w:sz w:val="28"/>
          <w:szCs w:val="28"/>
          <w:lang w:val="uk-UA"/>
        </w:rPr>
        <w:t xml:space="preserve">Вихованці технічного напряму навчаються робити вироби власними руками, проте навчання спрямоване не лише на засвоєння вихованцем певного багажу знань, умінь та навичок, а й на розвиток його професійних </w:t>
      </w:r>
      <w:proofErr w:type="spellStart"/>
      <w:r w:rsidRPr="006C3971">
        <w:rPr>
          <w:sz w:val="28"/>
          <w:szCs w:val="28"/>
          <w:lang w:val="uk-UA"/>
        </w:rPr>
        <w:t>компетентностей</w:t>
      </w:r>
      <w:proofErr w:type="spellEnd"/>
      <w:r w:rsidRPr="006C3971">
        <w:rPr>
          <w:sz w:val="28"/>
          <w:szCs w:val="28"/>
          <w:lang w:val="uk-UA"/>
        </w:rPr>
        <w:t>. Діти мають змогу займаються технічним спортом: картинги, авіамодельні гуртки.</w:t>
      </w:r>
    </w:p>
    <w:p w14:paraId="61C34EBA" w14:textId="77777777" w:rsidR="004D39B8" w:rsidRPr="006C3971" w:rsidRDefault="00A734B8" w:rsidP="00FF1D78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1E1976" w:rsidRPr="001E1976">
        <w:rPr>
          <w:sz w:val="28"/>
          <w:szCs w:val="28"/>
          <w:lang w:val="uk-UA"/>
        </w:rPr>
        <w:t xml:space="preserve">Менській дитячо-юнацькій спортивній школі -  13 груп, в яких  займається 165 дітей. </w:t>
      </w:r>
      <w:r w:rsidR="00FF1D78">
        <w:rPr>
          <w:sz w:val="28"/>
          <w:szCs w:val="28"/>
          <w:lang w:val="uk-UA"/>
        </w:rPr>
        <w:t>Школа організовує секції та гуртки з популярних видів спорту, формує навички командної роботи, зміцнює здоров</w:t>
      </w:r>
      <w:r w:rsidR="00C3598A" w:rsidRPr="000A35AE">
        <w:rPr>
          <w:sz w:val="28"/>
          <w:szCs w:val="28"/>
          <w:lang w:val="uk-UA"/>
        </w:rPr>
        <w:t>’</w:t>
      </w:r>
      <w:r w:rsidR="00FF1D78">
        <w:rPr>
          <w:sz w:val="28"/>
          <w:szCs w:val="28"/>
          <w:lang w:val="uk-UA"/>
        </w:rPr>
        <w:t>я та сприяє всебічному фізи</w:t>
      </w:r>
      <w:r w:rsidR="000A35AE">
        <w:rPr>
          <w:sz w:val="28"/>
          <w:szCs w:val="28"/>
          <w:lang w:val="uk-UA"/>
        </w:rPr>
        <w:t>ч</w:t>
      </w:r>
      <w:r w:rsidR="00FF1D78">
        <w:rPr>
          <w:sz w:val="28"/>
          <w:szCs w:val="28"/>
          <w:lang w:val="uk-UA"/>
        </w:rPr>
        <w:t xml:space="preserve">ному розвитку вихованців. </w:t>
      </w:r>
      <w:r w:rsidR="004D39B8" w:rsidRPr="006C3971">
        <w:rPr>
          <w:sz w:val="28"/>
          <w:szCs w:val="28"/>
          <w:lang w:val="uk-UA" w:eastAsia="ru-RU"/>
        </w:rPr>
        <w:t>Щороку вихованці ДЮСШ беруть участь у</w:t>
      </w:r>
      <w:r w:rsidR="004E37EC" w:rsidRPr="004E37EC">
        <w:rPr>
          <w:sz w:val="28"/>
          <w:szCs w:val="28"/>
          <w:lang w:val="uk-UA" w:eastAsia="ru-RU"/>
        </w:rPr>
        <w:t xml:space="preserve"> </w:t>
      </w:r>
      <w:r w:rsidR="004E37EC">
        <w:rPr>
          <w:sz w:val="28"/>
          <w:szCs w:val="28"/>
          <w:lang w:val="uk-UA" w:eastAsia="ru-RU"/>
        </w:rPr>
        <w:t xml:space="preserve">обласних, </w:t>
      </w:r>
      <w:r w:rsidR="004D39B8" w:rsidRPr="006C3971">
        <w:rPr>
          <w:sz w:val="28"/>
          <w:szCs w:val="28"/>
          <w:lang w:val="uk-UA" w:eastAsia="ru-RU"/>
        </w:rPr>
        <w:t xml:space="preserve"> Всеукраїнських</w:t>
      </w:r>
      <w:r w:rsidR="004E37EC">
        <w:rPr>
          <w:sz w:val="28"/>
          <w:szCs w:val="28"/>
          <w:lang w:val="uk-UA" w:eastAsia="ru-RU"/>
        </w:rPr>
        <w:t>, міжнародних</w:t>
      </w:r>
      <w:r w:rsidR="004D39B8" w:rsidRPr="006C3971">
        <w:rPr>
          <w:sz w:val="28"/>
          <w:szCs w:val="28"/>
          <w:lang w:val="uk-UA" w:eastAsia="ru-RU"/>
        </w:rPr>
        <w:t xml:space="preserve"> змаганнях, де беруть призові місця.</w:t>
      </w:r>
    </w:p>
    <w:p w14:paraId="1CB01674" w14:textId="77777777" w:rsidR="004D39B8" w:rsidRDefault="004D39B8" w:rsidP="00A734B8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2A5A34A9" w14:textId="77777777" w:rsidR="00AB5CF7" w:rsidRDefault="00595A07" w:rsidP="000A3280">
      <w:pPr>
        <w:keepNext/>
        <w:widowControl w:val="0"/>
        <w:tabs>
          <w:tab w:val="right" w:pos="7767"/>
        </w:tabs>
        <w:spacing w:after="0" w:line="240" w:lineRule="auto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>3</w:t>
      </w:r>
      <w:r w:rsidR="002B723D">
        <w:rPr>
          <w:b/>
          <w:bCs/>
          <w:color w:val="000000" w:themeColor="text1"/>
          <w:sz w:val="28"/>
          <w:szCs w:val="28"/>
          <w:lang w:val="uk-UA" w:eastAsia="ru-RU"/>
        </w:rPr>
        <w:t xml:space="preserve">. </w:t>
      </w:r>
      <w:r w:rsidR="002B723D">
        <w:rPr>
          <w:b/>
          <w:color w:val="212529"/>
          <w:sz w:val="28"/>
          <w:szCs w:val="28"/>
          <w:lang w:val="uk-UA" w:eastAsia="uk-UA"/>
        </w:rPr>
        <w:t>Визначення проблеми, на розв'язання якої спрямована Програма</w:t>
      </w:r>
    </w:p>
    <w:p w14:paraId="61A30D09" w14:textId="4CD96F8E" w:rsidR="00AB5CF7" w:rsidRDefault="00B919D8" w:rsidP="00B919D8">
      <w:pPr>
        <w:keepNext/>
        <w:widowControl w:val="0"/>
        <w:tabs>
          <w:tab w:val="right" w:pos="7767"/>
        </w:tabs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 w:rsidR="004864B6">
        <w:rPr>
          <w:sz w:val="28"/>
          <w:szCs w:val="28"/>
          <w:lang w:val="uk-UA" w:eastAsia="ru-RU"/>
        </w:rPr>
        <w:t xml:space="preserve">Позашкільне навчання відіграє важливу роль у розвитку творчих здібностей, </w:t>
      </w:r>
      <w:r w:rsidR="005A0CA0">
        <w:rPr>
          <w:sz w:val="28"/>
          <w:szCs w:val="28"/>
          <w:lang w:val="uk-UA" w:eastAsia="ru-RU"/>
        </w:rPr>
        <w:t xml:space="preserve">соціальних навичок та професійного самовизначення дітей і молоді. Проте в сучасних умовах система позашкільної освіти  стикається з низкою проблем, зокрема застарілою матеріально-технічною базою, нерівним доступом дітей до гуртків та секцій, а також зниженням мотивації учнів. Це зумовлює потребу в оновленні змісту, форм і методів позашкільного навчання відповідно до вимог сучасного суспільства. </w:t>
      </w:r>
      <w:r w:rsidR="00ED5CBC">
        <w:rPr>
          <w:sz w:val="28"/>
          <w:szCs w:val="28"/>
          <w:lang w:val="uk-UA" w:eastAsia="ru-RU"/>
        </w:rPr>
        <w:t xml:space="preserve">Проблема позашкільної освіти полягає в </w:t>
      </w:r>
      <w:r w:rsidR="00015147">
        <w:rPr>
          <w:sz w:val="28"/>
          <w:szCs w:val="28"/>
          <w:lang w:val="uk-UA" w:eastAsia="ru-RU"/>
        </w:rPr>
        <w:t>недостатній відповідності потребам дітей і молоді</w:t>
      </w:r>
      <w:r w:rsidR="00ED5CBC">
        <w:rPr>
          <w:sz w:val="28"/>
          <w:szCs w:val="28"/>
          <w:lang w:val="uk-UA" w:eastAsia="ru-RU"/>
        </w:rPr>
        <w:t xml:space="preserve"> </w:t>
      </w:r>
      <w:r w:rsidR="00484CB5">
        <w:rPr>
          <w:sz w:val="28"/>
          <w:szCs w:val="28"/>
          <w:lang w:val="uk-UA" w:eastAsia="ru-RU"/>
        </w:rPr>
        <w:t>(нестача гуртків</w:t>
      </w:r>
      <w:r w:rsidR="00FA29B7">
        <w:rPr>
          <w:sz w:val="28"/>
          <w:szCs w:val="28"/>
          <w:lang w:val="uk-UA" w:eastAsia="ru-RU"/>
        </w:rPr>
        <w:t>, секцій)</w:t>
      </w:r>
      <w:r w:rsidR="00015147">
        <w:rPr>
          <w:sz w:val="28"/>
          <w:szCs w:val="28"/>
          <w:lang w:val="uk-UA" w:eastAsia="ru-RU"/>
        </w:rPr>
        <w:t>;</w:t>
      </w:r>
      <w:r w:rsidR="00ED5CBC">
        <w:rPr>
          <w:sz w:val="28"/>
          <w:szCs w:val="28"/>
          <w:lang w:val="uk-UA" w:eastAsia="ru-RU"/>
        </w:rPr>
        <w:t xml:space="preserve"> </w:t>
      </w:r>
      <w:r w:rsidR="00A8768E">
        <w:rPr>
          <w:sz w:val="28"/>
          <w:szCs w:val="28"/>
          <w:lang w:val="uk-UA" w:eastAsia="ru-RU"/>
        </w:rPr>
        <w:lastRenderedPageBreak/>
        <w:t xml:space="preserve">недостатнє забезпечення формування інтелектуального потенціалу </w:t>
      </w:r>
      <w:r w:rsidR="00815407">
        <w:rPr>
          <w:sz w:val="28"/>
          <w:szCs w:val="28"/>
          <w:lang w:val="uk-UA" w:eastAsia="ru-RU"/>
        </w:rPr>
        <w:t>через</w:t>
      </w:r>
      <w:r w:rsidR="00A8768E">
        <w:rPr>
          <w:sz w:val="28"/>
          <w:szCs w:val="28"/>
          <w:lang w:val="uk-UA" w:eastAsia="ru-RU"/>
        </w:rPr>
        <w:t xml:space="preserve"> створення оптимальних умов для виявлення обдарованої молоді </w:t>
      </w:r>
      <w:r w:rsidR="00FA60BE">
        <w:rPr>
          <w:sz w:val="28"/>
          <w:szCs w:val="28"/>
          <w:lang w:val="uk-UA" w:eastAsia="ru-RU"/>
        </w:rPr>
        <w:t>та</w:t>
      </w:r>
      <w:r w:rsidR="00A8768E">
        <w:rPr>
          <w:sz w:val="28"/>
          <w:szCs w:val="28"/>
          <w:lang w:val="uk-UA" w:eastAsia="ru-RU"/>
        </w:rPr>
        <w:t xml:space="preserve"> підтримки </w:t>
      </w:r>
      <w:r w:rsidR="00FA60BE">
        <w:rPr>
          <w:sz w:val="28"/>
          <w:szCs w:val="28"/>
          <w:lang w:val="uk-UA" w:eastAsia="ru-RU"/>
        </w:rPr>
        <w:t xml:space="preserve">її </w:t>
      </w:r>
      <w:r w:rsidR="00A8768E">
        <w:rPr>
          <w:sz w:val="28"/>
          <w:szCs w:val="28"/>
          <w:lang w:val="uk-UA" w:eastAsia="ru-RU"/>
        </w:rPr>
        <w:t>творчого потенціалу, самореалізації  постійного духовного самовдосконалення</w:t>
      </w:r>
      <w:r w:rsidR="007278A9">
        <w:rPr>
          <w:sz w:val="28"/>
          <w:szCs w:val="28"/>
          <w:lang w:val="uk-UA" w:eastAsia="ru-RU"/>
        </w:rPr>
        <w:t>; низька підтримка деяких напрямків гуртків</w:t>
      </w:r>
      <w:r w:rsidR="00460969">
        <w:rPr>
          <w:sz w:val="28"/>
          <w:szCs w:val="28"/>
          <w:lang w:val="uk-UA" w:eastAsia="ru-RU"/>
        </w:rPr>
        <w:t>, зокрема технічного напряму</w:t>
      </w:r>
      <w:r w:rsidR="007278A9">
        <w:rPr>
          <w:sz w:val="28"/>
          <w:szCs w:val="28"/>
          <w:lang w:val="uk-UA" w:eastAsia="ru-RU"/>
        </w:rPr>
        <w:t xml:space="preserve">; </w:t>
      </w:r>
      <w:r w:rsidR="007566BA">
        <w:rPr>
          <w:sz w:val="28"/>
          <w:szCs w:val="28"/>
          <w:lang w:val="uk-UA" w:eastAsia="ru-RU"/>
        </w:rPr>
        <w:t>недостатня підтримка вихованців у обласних, Всеукраїнських та міжнародних конкурсах, змаганнях</w:t>
      </w:r>
      <w:r w:rsidR="00DD714A">
        <w:rPr>
          <w:sz w:val="28"/>
          <w:szCs w:val="28"/>
          <w:lang w:val="uk-UA" w:eastAsia="ru-RU"/>
        </w:rPr>
        <w:t>; зменшення кількості дітей через виїзд з громади.</w:t>
      </w:r>
    </w:p>
    <w:p w14:paraId="473803B6" w14:textId="77777777" w:rsidR="009709C0" w:rsidRPr="00B919D8" w:rsidRDefault="009709C0" w:rsidP="00B919D8">
      <w:pPr>
        <w:keepNext/>
        <w:widowControl w:val="0"/>
        <w:tabs>
          <w:tab w:val="right" w:pos="7767"/>
        </w:tabs>
        <w:spacing w:after="0" w:line="240" w:lineRule="auto"/>
        <w:ind w:firstLine="567"/>
        <w:jc w:val="both"/>
        <w:rPr>
          <w:b/>
          <w:color w:val="212529"/>
          <w:sz w:val="28"/>
          <w:szCs w:val="28"/>
          <w:lang w:val="uk-UA" w:eastAsia="uk-UA"/>
        </w:rPr>
      </w:pPr>
    </w:p>
    <w:p w14:paraId="4AF3371B" w14:textId="77777777" w:rsidR="004C701C" w:rsidRDefault="002C5F6A" w:rsidP="004C701C">
      <w:pPr>
        <w:keepNext/>
        <w:widowControl w:val="0"/>
        <w:tabs>
          <w:tab w:val="right" w:pos="7767"/>
        </w:tabs>
        <w:spacing w:after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/>
        </w:rPr>
        <w:t>4</w:t>
      </w:r>
      <w:r w:rsidR="004C701C">
        <w:rPr>
          <w:b/>
          <w:bCs/>
          <w:color w:val="000000" w:themeColor="text1"/>
          <w:sz w:val="28"/>
          <w:szCs w:val="28"/>
          <w:lang w:val="uk-UA" w:eastAsia="ru-RU"/>
        </w:rPr>
        <w:t>. Мета  Програми</w:t>
      </w:r>
    </w:p>
    <w:p w14:paraId="6F95E66A" w14:textId="77777777" w:rsidR="00D71CD7" w:rsidRDefault="00E9317D" w:rsidP="00D71CD7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Метою </w:t>
      </w:r>
      <w:r w:rsidR="00D71CD7">
        <w:rPr>
          <w:bCs/>
          <w:color w:val="000000" w:themeColor="text1"/>
          <w:sz w:val="28"/>
          <w:szCs w:val="28"/>
          <w:lang w:val="uk-UA"/>
        </w:rPr>
        <w:t>П</w:t>
      </w:r>
      <w:r>
        <w:rPr>
          <w:bCs/>
          <w:color w:val="000000" w:themeColor="text1"/>
          <w:sz w:val="28"/>
          <w:szCs w:val="28"/>
          <w:lang w:val="uk-UA"/>
        </w:rPr>
        <w:t>рограми позашкільної освіти є створення умов для всебічного розвитку дітей та молоді, формування їх інтелектуального, творчого й духовного потенціалу, забезпечення доступу до якісних позашкільних освітніх послуг відповідно до інтересів і здібностей.</w:t>
      </w:r>
      <w:r w:rsidR="00D71CD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71CD7">
        <w:rPr>
          <w:color w:val="000000" w:themeColor="text1"/>
          <w:sz w:val="28"/>
          <w:szCs w:val="28"/>
          <w:lang w:val="uk-UA" w:eastAsia="ru-RU"/>
        </w:rPr>
        <w:t>Вдосконалити та розвинути мережу гуртків, клубів, секцій, творчих об’єднань тощо у  закладах позашкільної освіти для забезпечення інтересів та розширення можливостей дітей громади; зміцнити матеріально-технічну базу закладів позашкільної освіти.</w:t>
      </w:r>
    </w:p>
    <w:p w14:paraId="64B56804" w14:textId="77777777" w:rsidR="004C701C" w:rsidRDefault="004C701C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E6456DE" w14:textId="77777777" w:rsidR="00A022B5" w:rsidRDefault="00A022B5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A654E54" w14:textId="77777777" w:rsidR="00AB5CF7" w:rsidRDefault="002C5F6A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2B723D">
        <w:rPr>
          <w:b/>
          <w:sz w:val="28"/>
          <w:szCs w:val="28"/>
          <w:lang w:val="uk-UA"/>
        </w:rPr>
        <w:t>. Завдання програми</w:t>
      </w:r>
    </w:p>
    <w:p w14:paraId="6B7AB186" w14:textId="77777777" w:rsidR="00AB5CF7" w:rsidRDefault="00AB5CF7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CF946AE" w14:textId="77777777" w:rsidR="00AB5CF7" w:rsidRDefault="002B723D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>Основ</w:t>
      </w:r>
      <w:r>
        <w:rPr>
          <w:color w:val="000000" w:themeColor="text1"/>
          <w:sz w:val="28"/>
          <w:szCs w:val="28"/>
          <w:lang w:val="uk-UA" w:eastAsia="ru-RU"/>
        </w:rPr>
        <w:t>ними завданнями Програми є:</w:t>
      </w:r>
    </w:p>
    <w:p w14:paraId="62197BB8" w14:textId="77777777" w:rsidR="00AB5CF7" w:rsidRPr="006F60D4" w:rsidRDefault="00544AE1" w:rsidP="0087427D">
      <w:pPr>
        <w:pStyle w:val="afb"/>
        <w:widowControl w:val="0"/>
        <w:numPr>
          <w:ilvl w:val="0"/>
          <w:numId w:val="6"/>
        </w:numPr>
        <w:tabs>
          <w:tab w:val="right" w:pos="77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>Забезпечити роботу та зміцнити матеріальну базу гуртків закладів позашкільної освіти, підтримати творчі колективи;</w:t>
      </w:r>
    </w:p>
    <w:p w14:paraId="06AC1B03" w14:textId="77777777" w:rsidR="006F60D4" w:rsidRPr="00544AE1" w:rsidRDefault="006F60D4" w:rsidP="0087427D">
      <w:pPr>
        <w:pStyle w:val="afb"/>
        <w:widowControl w:val="0"/>
        <w:numPr>
          <w:ilvl w:val="0"/>
          <w:numId w:val="6"/>
        </w:numPr>
        <w:tabs>
          <w:tab w:val="right" w:pos="77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Створити умови для доступності дітей і молоді до якісної позашкільної освіти;</w:t>
      </w:r>
    </w:p>
    <w:p w14:paraId="1394FB6A" w14:textId="039827F2" w:rsidR="00544AE1" w:rsidRPr="00544AE1" w:rsidRDefault="00544AE1" w:rsidP="0087427D">
      <w:pPr>
        <w:pStyle w:val="afb"/>
        <w:widowControl w:val="0"/>
        <w:numPr>
          <w:ilvl w:val="0"/>
          <w:numId w:val="6"/>
        </w:numPr>
        <w:tabs>
          <w:tab w:val="right" w:pos="77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Забезпечити участь вихованців в обласних, Всеукраїнських</w:t>
      </w:r>
      <w:r w:rsidR="00023705">
        <w:rPr>
          <w:color w:val="000000" w:themeColor="text1"/>
          <w:sz w:val="28"/>
          <w:szCs w:val="28"/>
          <w:lang w:val="uk-UA"/>
        </w:rPr>
        <w:t>, міжнародних</w:t>
      </w:r>
      <w:r>
        <w:rPr>
          <w:color w:val="000000" w:themeColor="text1"/>
          <w:sz w:val="28"/>
          <w:szCs w:val="28"/>
          <w:lang w:val="uk-UA"/>
        </w:rPr>
        <w:t xml:space="preserve"> конкурсах, змаганнях</w:t>
      </w:r>
      <w:r w:rsidR="00023705">
        <w:rPr>
          <w:color w:val="000000" w:themeColor="text1"/>
          <w:sz w:val="28"/>
          <w:szCs w:val="28"/>
          <w:lang w:val="uk-UA"/>
        </w:rPr>
        <w:t xml:space="preserve"> тощо 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557DC342" w14:textId="77777777" w:rsidR="00544AE1" w:rsidRPr="00544AE1" w:rsidRDefault="00544AE1" w:rsidP="0087427D">
      <w:pPr>
        <w:pStyle w:val="afb"/>
        <w:widowControl w:val="0"/>
        <w:numPr>
          <w:ilvl w:val="0"/>
          <w:numId w:val="6"/>
        </w:numPr>
        <w:tabs>
          <w:tab w:val="right" w:pos="77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Відзначення та нагородження переможців обласних, Всеукраїнських, міжнародних конкурсів, спортивних змагань;</w:t>
      </w:r>
    </w:p>
    <w:p w14:paraId="54B8AC31" w14:textId="77777777" w:rsidR="00544AE1" w:rsidRPr="00544AE1" w:rsidRDefault="00544AE1" w:rsidP="0087427D">
      <w:pPr>
        <w:pStyle w:val="afb"/>
        <w:widowControl w:val="0"/>
        <w:numPr>
          <w:ilvl w:val="0"/>
          <w:numId w:val="6"/>
        </w:numPr>
        <w:tabs>
          <w:tab w:val="right" w:pos="77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Придбання грамот, дипломів та інше для нагородження переможців;</w:t>
      </w:r>
    </w:p>
    <w:p w14:paraId="4BB2BF3F" w14:textId="77777777" w:rsidR="00544AE1" w:rsidRPr="00544AE1" w:rsidRDefault="00544AE1" w:rsidP="0087427D">
      <w:pPr>
        <w:pStyle w:val="afb"/>
        <w:widowControl w:val="0"/>
        <w:numPr>
          <w:ilvl w:val="0"/>
          <w:numId w:val="6"/>
        </w:numPr>
        <w:tabs>
          <w:tab w:val="right" w:pos="77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Забезпечити підвіз вихованців та їх керівників для участі у проведенні нагородження переможців, оплати транспортних послуг за підвезення.</w:t>
      </w:r>
    </w:p>
    <w:p w14:paraId="235FBFDC" w14:textId="77777777" w:rsidR="00AB5CF7" w:rsidRDefault="00AB5CF7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2B502AF2" w14:textId="77777777" w:rsidR="00AB5CF7" w:rsidRDefault="00AB5CF7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3D8C5F74" w14:textId="77777777" w:rsidR="00AB5CF7" w:rsidRDefault="00AB5CF7">
      <w:pPr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4D36C14D" w14:textId="77777777" w:rsidR="00AB5CF7" w:rsidRDefault="002C5F6A">
      <w:pPr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>6</w:t>
      </w:r>
      <w:r w:rsidR="002B723D">
        <w:rPr>
          <w:b/>
          <w:color w:val="212529"/>
          <w:sz w:val="28"/>
          <w:szCs w:val="28"/>
          <w:lang w:val="uk-UA" w:eastAsia="uk-UA"/>
        </w:rPr>
        <w:t xml:space="preserve">. Шляхи і  способи  розв'язання   проблеми,   </w:t>
      </w:r>
    </w:p>
    <w:p w14:paraId="48A290D9" w14:textId="77777777" w:rsidR="00AB5CF7" w:rsidRDefault="002B723D">
      <w:pPr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212529"/>
          <w:sz w:val="28"/>
          <w:szCs w:val="28"/>
          <w:lang w:val="uk-UA" w:eastAsia="uk-UA"/>
        </w:rPr>
        <w:t>строк   виконання Програми</w:t>
      </w:r>
    </w:p>
    <w:p w14:paraId="1F9BA190" w14:textId="77777777" w:rsidR="00AB5CF7" w:rsidRDefault="00AB5CF7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3091C4CA" w14:textId="77777777" w:rsidR="00AB5CF7" w:rsidRDefault="002B723D">
      <w:pPr>
        <w:spacing w:after="0" w:line="240" w:lineRule="auto"/>
        <w:ind w:firstLine="567"/>
        <w:jc w:val="both"/>
        <w:rPr>
          <w:b/>
          <w:color w:val="212529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Програма розрахована на 2025-2027 роки.</w:t>
      </w:r>
    </w:p>
    <w:p w14:paraId="63374B0E" w14:textId="77777777" w:rsidR="00AB5CF7" w:rsidRDefault="002B723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Реалізація даної </w:t>
      </w:r>
      <w:r w:rsidR="00990977">
        <w:rPr>
          <w:color w:val="000000" w:themeColor="text1"/>
          <w:sz w:val="28"/>
          <w:szCs w:val="28"/>
          <w:lang w:val="uk-UA"/>
        </w:rPr>
        <w:t>П</w:t>
      </w:r>
      <w:r>
        <w:rPr>
          <w:color w:val="000000" w:themeColor="text1"/>
          <w:sz w:val="28"/>
          <w:szCs w:val="28"/>
          <w:lang w:val="uk-UA"/>
        </w:rPr>
        <w:t xml:space="preserve">рограми  має здійснюватися шляхом </w:t>
      </w:r>
      <w:r>
        <w:rPr>
          <w:color w:val="000000" w:themeColor="text1"/>
          <w:sz w:val="28"/>
          <w:szCs w:val="28"/>
          <w:lang w:val="uk-UA" w:eastAsia="ru-RU"/>
        </w:rPr>
        <w:t>удосконалення та розвитку мережі гуртків закладів  позашкільної освіти; створення умов для доступності дітей і молоді до якісної позашкільної освіти, в тому числі і в сільській місцевості; підвищення навчального, навчально-методичного та науково-методичного рівня діяльності  закладів позашкільної освіти;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ru-RU"/>
        </w:rPr>
        <w:t xml:space="preserve">забезпечення розвитку системи підготовки (перепідготовки) педагогічних кадрів для закладів позашкільної освіти різних типів; поглиблення міжнародного </w:t>
      </w:r>
      <w:r>
        <w:rPr>
          <w:color w:val="000000" w:themeColor="text1"/>
          <w:sz w:val="28"/>
          <w:szCs w:val="28"/>
          <w:lang w:val="uk-UA" w:eastAsia="ru-RU"/>
        </w:rPr>
        <w:lastRenderedPageBreak/>
        <w:t>співробітництва з питань позашкільної освіти; удосконалення системи виявлення і підтримки обдарованої учнівської молоді, стимулювання її творчого потенціалу; сприяння участі вихованців закладів позашкільної освіти, творчих колективів у різноманітних конкурсах, фестивалях, урочистих заходах, спортивних змаганнях тощо; розвитку і підтримки роботи гуртків технічного напряму.</w:t>
      </w:r>
    </w:p>
    <w:p w14:paraId="5B473179" w14:textId="77777777" w:rsidR="00AB5CF7" w:rsidRDefault="00AB5CF7">
      <w:pPr>
        <w:spacing w:after="0" w:line="240" w:lineRule="auto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541E38B" w14:textId="77777777" w:rsidR="00AB5CF7" w:rsidRDefault="002C5F6A">
      <w:pPr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>7</w:t>
      </w:r>
      <w:r w:rsidR="002B723D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2B723D">
        <w:rPr>
          <w:b/>
          <w:color w:val="212529"/>
          <w:sz w:val="28"/>
          <w:szCs w:val="28"/>
          <w:lang w:val="uk-UA" w:eastAsia="uk-UA"/>
        </w:rPr>
        <w:t xml:space="preserve">   Очікувані результати   виконання   Програми,   визначення  її </w:t>
      </w:r>
      <w:r w:rsidR="002B723D">
        <w:rPr>
          <w:b/>
          <w:color w:val="212529"/>
          <w:sz w:val="28"/>
          <w:szCs w:val="28"/>
          <w:lang w:val="uk-UA" w:eastAsia="uk-UA"/>
        </w:rPr>
        <w:br/>
        <w:t>ефективності</w:t>
      </w:r>
    </w:p>
    <w:p w14:paraId="5BC33D9C" w14:textId="77777777" w:rsidR="00AB5CF7" w:rsidRDefault="00AB5CF7">
      <w:pPr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</w:p>
    <w:p w14:paraId="6C1F7C03" w14:textId="77777777" w:rsidR="00AB5CF7" w:rsidRDefault="002B723D">
      <w:pPr>
        <w:spacing w:after="0" w:line="240" w:lineRule="auto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Виконання </w:t>
      </w:r>
      <w:r w:rsidR="00EB101F">
        <w:rPr>
          <w:color w:val="000000" w:themeColor="text1"/>
          <w:sz w:val="28"/>
          <w:szCs w:val="28"/>
          <w:lang w:val="uk-UA" w:eastAsia="ru-RU"/>
        </w:rPr>
        <w:t xml:space="preserve">даної </w:t>
      </w:r>
      <w:r>
        <w:rPr>
          <w:color w:val="000000" w:themeColor="text1"/>
          <w:sz w:val="28"/>
          <w:szCs w:val="28"/>
          <w:lang w:val="uk-UA" w:eastAsia="ru-RU"/>
        </w:rPr>
        <w:t>Програми да</w:t>
      </w:r>
      <w:r w:rsidR="007666A7">
        <w:rPr>
          <w:color w:val="000000" w:themeColor="text1"/>
          <w:sz w:val="28"/>
          <w:szCs w:val="28"/>
          <w:lang w:val="uk-UA" w:eastAsia="ru-RU"/>
        </w:rPr>
        <w:t>є</w:t>
      </w:r>
      <w:r>
        <w:rPr>
          <w:color w:val="000000" w:themeColor="text1"/>
          <w:sz w:val="28"/>
          <w:szCs w:val="28"/>
          <w:lang w:val="uk-UA" w:eastAsia="ru-RU"/>
        </w:rPr>
        <w:t xml:space="preserve"> змогу</w:t>
      </w:r>
      <w:r w:rsidR="007666A7">
        <w:rPr>
          <w:color w:val="000000" w:themeColor="text1"/>
          <w:sz w:val="28"/>
          <w:szCs w:val="28"/>
          <w:lang w:val="uk-UA" w:eastAsia="ru-RU"/>
        </w:rPr>
        <w:t xml:space="preserve"> отримати такі результати:</w:t>
      </w:r>
    </w:p>
    <w:p w14:paraId="0EE55FFA" w14:textId="68FC130D" w:rsidR="00C57696" w:rsidRDefault="002E72CB" w:rsidP="005C6E84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</w:t>
      </w:r>
      <w:r w:rsidR="005C6E84">
        <w:rPr>
          <w:color w:val="000000" w:themeColor="text1"/>
          <w:sz w:val="28"/>
          <w:szCs w:val="28"/>
          <w:lang w:val="uk-UA"/>
        </w:rPr>
        <w:t xml:space="preserve">абезпечено рівний доступ </w:t>
      </w:r>
      <w:r>
        <w:rPr>
          <w:color w:val="000000" w:themeColor="text1"/>
          <w:sz w:val="28"/>
          <w:szCs w:val="28"/>
          <w:lang w:val="uk-UA"/>
        </w:rPr>
        <w:t>дітей та молоді до якісн</w:t>
      </w:r>
      <w:r w:rsidR="009E477F">
        <w:rPr>
          <w:color w:val="000000" w:themeColor="text1"/>
          <w:sz w:val="28"/>
          <w:szCs w:val="28"/>
          <w:lang w:val="uk-UA"/>
        </w:rPr>
        <w:t>ої</w:t>
      </w:r>
      <w:r>
        <w:rPr>
          <w:color w:val="000000" w:themeColor="text1"/>
          <w:sz w:val="28"/>
          <w:szCs w:val="28"/>
          <w:lang w:val="uk-UA"/>
        </w:rPr>
        <w:t xml:space="preserve"> позашкільн</w:t>
      </w:r>
      <w:r w:rsidR="009E477F">
        <w:rPr>
          <w:color w:val="000000" w:themeColor="text1"/>
          <w:sz w:val="28"/>
          <w:szCs w:val="28"/>
          <w:lang w:val="uk-UA"/>
        </w:rPr>
        <w:t>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9E477F">
        <w:rPr>
          <w:color w:val="000000" w:themeColor="text1"/>
          <w:sz w:val="28"/>
          <w:szCs w:val="28"/>
          <w:lang w:val="uk-UA"/>
        </w:rPr>
        <w:t>освіти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09FA80E" w14:textId="77777777" w:rsidR="002E72CB" w:rsidRDefault="002E72CB" w:rsidP="005C6E84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створено  умови для виявлення, підтримки та розвитку обдарованих дітей і молоді;</w:t>
      </w:r>
    </w:p>
    <w:p w14:paraId="57FED755" w14:textId="77777777" w:rsidR="002E72CB" w:rsidRDefault="002E72CB" w:rsidP="005C6E84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підвищено якість </w:t>
      </w:r>
      <w:r w:rsidR="0016005F">
        <w:rPr>
          <w:color w:val="000000" w:themeColor="text1"/>
          <w:sz w:val="28"/>
          <w:szCs w:val="28"/>
          <w:lang w:val="uk-UA"/>
        </w:rPr>
        <w:t>і ефективність</w:t>
      </w:r>
      <w:r>
        <w:rPr>
          <w:color w:val="000000" w:themeColor="text1"/>
          <w:sz w:val="28"/>
          <w:szCs w:val="28"/>
          <w:lang w:val="uk-UA"/>
        </w:rPr>
        <w:t xml:space="preserve"> позашкільної освіти;</w:t>
      </w:r>
    </w:p>
    <w:p w14:paraId="6697C532" w14:textId="77777777" w:rsidR="00F33C72" w:rsidRDefault="00F33C72" w:rsidP="005C6E84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забезпечено розвиток інтелектуального, творчого та духовного потенціалу вихованців;</w:t>
      </w:r>
    </w:p>
    <w:p w14:paraId="67750FE4" w14:textId="77777777" w:rsidR="00F33C72" w:rsidRDefault="00F33C72" w:rsidP="005C6E84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розширено мережу гуртків, секцій та творчих об</w:t>
      </w:r>
      <w:r w:rsidR="005F0D3C" w:rsidRPr="004E37EC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  <w:lang w:val="uk-UA"/>
        </w:rPr>
        <w:t xml:space="preserve">єднань відповідно до інтересів </w:t>
      </w:r>
      <w:r w:rsidR="00F55871">
        <w:rPr>
          <w:color w:val="000000" w:themeColor="text1"/>
          <w:sz w:val="28"/>
          <w:szCs w:val="28"/>
          <w:lang w:val="uk-UA"/>
        </w:rPr>
        <w:t>дітей;</w:t>
      </w:r>
    </w:p>
    <w:p w14:paraId="10EF79EB" w14:textId="77777777" w:rsidR="002E72CB" w:rsidRDefault="002E72CB" w:rsidP="005C6E84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збільшено участь </w:t>
      </w:r>
      <w:r w:rsidR="00F55871">
        <w:rPr>
          <w:color w:val="000000" w:themeColor="text1"/>
          <w:sz w:val="28"/>
          <w:szCs w:val="28"/>
          <w:lang w:val="uk-UA"/>
        </w:rPr>
        <w:t>результативність вихованців</w:t>
      </w:r>
      <w:r>
        <w:rPr>
          <w:color w:val="000000" w:themeColor="text1"/>
          <w:sz w:val="28"/>
          <w:szCs w:val="28"/>
          <w:lang w:val="uk-UA"/>
        </w:rPr>
        <w:t xml:space="preserve"> у конкурсах, змаганнях, фестивалях різних рівнів;</w:t>
      </w:r>
    </w:p>
    <w:p w14:paraId="4E24E8EA" w14:textId="77777777" w:rsidR="002E72CB" w:rsidRDefault="002E72CB" w:rsidP="002E72CB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підвищено професійну компетентність педагогічних працівників позашкільної освіти;</w:t>
      </w:r>
    </w:p>
    <w:p w14:paraId="790829DA" w14:textId="77777777" w:rsidR="002E72CB" w:rsidRDefault="002E72CB" w:rsidP="002E72CB">
      <w:pPr>
        <w:pStyle w:val="afb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посилено співпрацю закладів позашкільної освіти з закладами загальної середньої освіти, громадськими організаціями.</w:t>
      </w:r>
    </w:p>
    <w:p w14:paraId="493A9006" w14:textId="77777777" w:rsidR="00704CE1" w:rsidRPr="00704CE1" w:rsidRDefault="00704CE1" w:rsidP="002E72CB">
      <w:pPr>
        <w:spacing w:after="0" w:line="240" w:lineRule="auto"/>
        <w:ind w:firstLine="361"/>
        <w:jc w:val="both"/>
        <w:rPr>
          <w:sz w:val="28"/>
          <w:szCs w:val="28"/>
          <w:lang w:val="uk-UA"/>
        </w:rPr>
      </w:pPr>
      <w:r w:rsidRPr="00704CE1">
        <w:rPr>
          <w:sz w:val="28"/>
          <w:szCs w:val="28"/>
          <w:lang w:val="uk-UA"/>
        </w:rPr>
        <w:t>Завдяки накопиченому досвіду і традиціям,  заклади позашкільної освіти Менської територіальної громади  наполегливо працюють над розвитком здібностей дітей у різних сферах, надають здобувачам освіти можливості поглиблення знань, сприяють професійній підготовці, досягаючи при цьому дуже високих результатів.</w:t>
      </w:r>
    </w:p>
    <w:p w14:paraId="66B40B85" w14:textId="77777777" w:rsidR="00AB5CF7" w:rsidRPr="00704CE1" w:rsidRDefault="00AB5CF7">
      <w:pPr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</w:p>
    <w:p w14:paraId="242AE940" w14:textId="77777777" w:rsidR="00AB5CF7" w:rsidRDefault="002C5F6A">
      <w:pPr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>8</w:t>
      </w:r>
      <w:r w:rsidR="002B723D">
        <w:rPr>
          <w:b/>
          <w:color w:val="000000" w:themeColor="text1"/>
          <w:sz w:val="28"/>
          <w:szCs w:val="28"/>
          <w:lang w:val="uk-UA"/>
        </w:rPr>
        <w:t xml:space="preserve">.  </w:t>
      </w:r>
      <w:r w:rsidR="002B723D">
        <w:rPr>
          <w:b/>
          <w:color w:val="212529"/>
          <w:sz w:val="28"/>
          <w:szCs w:val="28"/>
          <w:lang w:val="uk-UA" w:eastAsia="uk-UA"/>
        </w:rPr>
        <w:t xml:space="preserve">Оцінка фінансових,  матеріально-технічних, трудових ресурсів, </w:t>
      </w:r>
      <w:r w:rsidR="002B723D">
        <w:rPr>
          <w:b/>
          <w:color w:val="212529"/>
          <w:sz w:val="28"/>
          <w:szCs w:val="28"/>
          <w:lang w:val="uk-UA" w:eastAsia="uk-UA"/>
        </w:rPr>
        <w:br/>
        <w:t>необхідних для виконання Програми</w:t>
      </w:r>
    </w:p>
    <w:p w14:paraId="1D43005D" w14:textId="77777777" w:rsidR="00AB5CF7" w:rsidRDefault="00AB5CF7">
      <w:pPr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E71A789" w14:textId="77777777" w:rsidR="00AB5CF7" w:rsidRDefault="002B723D">
      <w:pPr>
        <w:shd w:val="clear" w:color="auto" w:fill="FFFFFF"/>
        <w:spacing w:after="0" w:line="240" w:lineRule="auto"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uk-UA"/>
        </w:rPr>
        <w:t xml:space="preserve">Фінансування Програми здійснюється за рахунок коштів бюджету  Менської міської територіальної громади, а також за рахунок інших джерел, не заборонених законодавством України. </w:t>
      </w:r>
      <w:r>
        <w:rPr>
          <w:rFonts w:eastAsia="Batang"/>
          <w:sz w:val="28"/>
          <w:szCs w:val="28"/>
          <w:lang w:val="uk-UA" w:eastAsia="ru-RU"/>
        </w:rPr>
        <w:t xml:space="preserve">При цьому обсяг коштів визначається під час формування бюджету з урахуванням його фінансових можливостей та може змінюватися в процесі виконання бюджету при внесенні змін до нього.  </w:t>
      </w:r>
    </w:p>
    <w:p w14:paraId="5934EBA4" w14:textId="77777777" w:rsidR="00AB5CF7" w:rsidRDefault="002B723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Прогнозований обсяг коштів, що планується залучити до фінансування, передбачається  у  сумі  </w:t>
      </w:r>
      <w:r w:rsidRPr="00405038">
        <w:rPr>
          <w:sz w:val="28"/>
          <w:szCs w:val="28"/>
          <w:shd w:val="clear" w:color="auto" w:fill="FFFFFF"/>
          <w:lang w:val="uk-UA" w:eastAsia="uk-UA"/>
        </w:rPr>
        <w:t>8</w:t>
      </w:r>
      <w:r w:rsidR="001A09AE" w:rsidRPr="00405038">
        <w:rPr>
          <w:sz w:val="28"/>
          <w:szCs w:val="28"/>
          <w:shd w:val="clear" w:color="auto" w:fill="FFFFFF"/>
          <w:lang w:val="uk-UA" w:eastAsia="uk-UA"/>
        </w:rPr>
        <w:t>77</w:t>
      </w:r>
      <w:r w:rsidRPr="00405038">
        <w:rPr>
          <w:sz w:val="28"/>
          <w:szCs w:val="28"/>
          <w:shd w:val="clear" w:color="auto" w:fill="FFFFFF"/>
          <w:lang w:val="uk-UA" w:eastAsia="uk-UA"/>
        </w:rPr>
        <w:t> </w:t>
      </w:r>
      <w:r w:rsidR="001A09AE" w:rsidRPr="00405038">
        <w:rPr>
          <w:sz w:val="28"/>
          <w:szCs w:val="28"/>
          <w:shd w:val="clear" w:color="auto" w:fill="FFFFFF"/>
          <w:lang w:val="uk-UA" w:eastAsia="uk-UA"/>
        </w:rPr>
        <w:t>66</w:t>
      </w:r>
      <w:r w:rsidRPr="00405038">
        <w:rPr>
          <w:sz w:val="28"/>
          <w:szCs w:val="28"/>
          <w:shd w:val="clear" w:color="auto" w:fill="FFFFFF"/>
          <w:lang w:val="uk-UA" w:eastAsia="uk-UA"/>
        </w:rPr>
        <w:t xml:space="preserve">0 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грн.  З них  </w:t>
      </w:r>
      <w:r w:rsidRPr="00405038">
        <w:rPr>
          <w:sz w:val="28"/>
          <w:szCs w:val="28"/>
          <w:shd w:val="clear" w:color="auto" w:fill="FFFFFF"/>
          <w:lang w:val="uk-UA" w:eastAsia="uk-UA"/>
        </w:rPr>
        <w:t>7</w:t>
      </w:r>
      <w:r w:rsidR="001A09AE" w:rsidRPr="00405038">
        <w:rPr>
          <w:sz w:val="28"/>
          <w:szCs w:val="28"/>
          <w:shd w:val="clear" w:color="auto" w:fill="FFFFFF"/>
          <w:lang w:val="uk-UA" w:eastAsia="uk-UA"/>
        </w:rPr>
        <w:t>36</w:t>
      </w:r>
      <w:r w:rsidRPr="00405038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="001A09AE" w:rsidRPr="00405038">
        <w:rPr>
          <w:sz w:val="28"/>
          <w:szCs w:val="28"/>
          <w:shd w:val="clear" w:color="auto" w:fill="FFFFFF"/>
          <w:lang w:val="uk-UA" w:eastAsia="uk-UA"/>
        </w:rPr>
        <w:t>66</w:t>
      </w:r>
      <w:r w:rsidRPr="00405038">
        <w:rPr>
          <w:sz w:val="28"/>
          <w:szCs w:val="28"/>
          <w:shd w:val="clear" w:color="auto" w:fill="FFFFFF"/>
          <w:lang w:val="uk-UA" w:eastAsia="uk-UA"/>
        </w:rPr>
        <w:t xml:space="preserve">0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грн на  преміювання,    141 000 грн на інші видатки.</w:t>
      </w:r>
    </w:p>
    <w:p w14:paraId="5E40C73F" w14:textId="77777777" w:rsidR="00AB5CF7" w:rsidRDefault="002B723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Розмір фінансового забезпечення Програми може змінюватися залежно від можливостей бюджету.</w:t>
      </w:r>
    </w:p>
    <w:p w14:paraId="76289F77" w14:textId="77777777" w:rsidR="00AB5CF7" w:rsidRDefault="00AB5CF7">
      <w:pPr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F7A816F" w14:textId="77777777" w:rsidR="006C5923" w:rsidRDefault="006C5923" w:rsidP="00A42E20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9C433B2" w14:textId="77777777" w:rsidR="006C5923" w:rsidRDefault="006C5923" w:rsidP="00A42E20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7003298" w14:textId="77777777" w:rsidR="00AB5CF7" w:rsidRDefault="002C5F6A" w:rsidP="00A42E20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9</w:t>
      </w:r>
      <w:r w:rsidR="002B723D">
        <w:rPr>
          <w:b/>
          <w:color w:val="000000" w:themeColor="text1"/>
          <w:sz w:val="28"/>
          <w:szCs w:val="28"/>
          <w:lang w:val="uk-UA"/>
        </w:rPr>
        <w:t xml:space="preserve">.  </w:t>
      </w:r>
      <w:r w:rsidR="002B723D">
        <w:rPr>
          <w:b/>
          <w:sz w:val="28"/>
          <w:szCs w:val="28"/>
          <w:lang w:val="uk-UA" w:eastAsia="ru-RU"/>
        </w:rPr>
        <w:t>Координація та контроль за ходом виконання програми</w:t>
      </w:r>
    </w:p>
    <w:p w14:paraId="4DA1BF85" w14:textId="77777777" w:rsidR="00AB5CF7" w:rsidRDefault="002B723D">
      <w:pPr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Організація виконання Програми покладається на Відділ освіти Менської міської ради, Комунальну установу «</w:t>
      </w:r>
      <w:r>
        <w:rPr>
          <w:sz w:val="28"/>
          <w:szCs w:val="28"/>
          <w:lang w:val="uk-UA" w:eastAsia="ru-RU"/>
        </w:rPr>
        <w:t>Центр з обслуговування освітніх установ та закладів освіти».</w:t>
      </w:r>
    </w:p>
    <w:p w14:paraId="513D2409" w14:textId="1309C06C" w:rsidR="00AB5CF7" w:rsidRDefault="002B723D">
      <w:pPr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Контроль за ходом реалізації Програми здійснюється постійною комісією Менської міської ради з питань охорони </w:t>
      </w:r>
      <w:proofErr w:type="spellStart"/>
      <w:r>
        <w:rPr>
          <w:sz w:val="28"/>
          <w:szCs w:val="28"/>
          <w:lang w:val="uk-UA" w:eastAsia="ru-RU"/>
        </w:rPr>
        <w:t>здоров</w:t>
      </w:r>
      <w:proofErr w:type="spellEnd"/>
      <w:r>
        <w:rPr>
          <w:sz w:val="28"/>
          <w:szCs w:val="28"/>
          <w:lang w:eastAsia="ru-RU"/>
        </w:rPr>
        <w:t>’</w:t>
      </w:r>
      <w:r>
        <w:rPr>
          <w:sz w:val="28"/>
          <w:szCs w:val="28"/>
          <w:lang w:val="uk-UA" w:eastAsia="ru-RU"/>
        </w:rPr>
        <w:t xml:space="preserve">я, соціального захисту населення, освіти, культури, молоді, фізкультури і спорту, заступником голови з питань діяльності виконавчих органів ради Прищепою В.В. </w:t>
      </w:r>
    </w:p>
    <w:p w14:paraId="78279F90" w14:textId="23214597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E777BA9" w14:textId="58CFD903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38C52108" w14:textId="7D90FAAE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3DEDF00E" w14:textId="6C1F12E3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F248B71" w14:textId="38066D5B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99E06E9" w14:textId="6E7C0417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26B5D254" w14:textId="2852B09E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074E578C" w14:textId="63814789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1A23D04" w14:textId="780BB205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3B9557C" w14:textId="28117700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10F05B4" w14:textId="785AA7E6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8E816C5" w14:textId="0ABE52EB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27FC28F" w14:textId="3A57C2D7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53DA723E" w14:textId="7E5DA0F1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8F43762" w14:textId="7BFD91ED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9D41D72" w14:textId="697A6B10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186A3E0D" w14:textId="3EDB2827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8A0392E" w14:textId="35BE91D2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AED05B8" w14:textId="22015B48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2917A150" w14:textId="0A9450D5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6EDBBE4" w14:textId="194E02BB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0CB7ECC" w14:textId="79CC4128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2BEC8EB3" w14:textId="2D2B238C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AFF8660" w14:textId="67D30CE1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26A20542" w14:textId="30B06F92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BB50F86" w14:textId="6C217F90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5C27A921" w14:textId="78902D87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E2F8C61" w14:textId="1129344A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4C7C68F" w14:textId="2F194753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7D1F9DD" w14:textId="4D6B94C3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3336D1E2" w14:textId="1E5A73E8" w:rsidR="00A63925" w:rsidRDefault="00A63925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0F1D5251" w14:textId="72EBA864" w:rsidR="00E04026" w:rsidRDefault="00E04026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55A802A8" w14:textId="77777777" w:rsidR="00E04026" w:rsidRDefault="00E04026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319C5B7E" w14:textId="77777777" w:rsidR="00AB5CF7" w:rsidRDefault="00AB5CF7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 w:eastAsia="ru-RU"/>
        </w:rPr>
      </w:pPr>
    </w:p>
    <w:p w14:paraId="566EABAB" w14:textId="77777777" w:rsidR="00AB5CF7" w:rsidRDefault="002C5F6A" w:rsidP="00ED5CBC">
      <w:pPr>
        <w:spacing w:after="0" w:line="240" w:lineRule="auto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lastRenderedPageBreak/>
        <w:t>10</w:t>
      </w:r>
      <w:r w:rsidR="002B723D">
        <w:rPr>
          <w:b/>
          <w:color w:val="000000" w:themeColor="text1"/>
          <w:sz w:val="28"/>
          <w:szCs w:val="28"/>
          <w:lang w:val="uk-UA" w:eastAsia="ru-RU"/>
        </w:rPr>
        <w:t>. Орієнтовне фінансування забезпечення Програми (2025 – 2027 рр.)</w:t>
      </w:r>
    </w:p>
    <w:p w14:paraId="6EBC901E" w14:textId="77777777" w:rsidR="00AB5CF7" w:rsidRDefault="00AB5CF7">
      <w:pPr>
        <w:spacing w:after="0" w:line="240" w:lineRule="auto"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</w:p>
    <w:tbl>
      <w:tblPr>
        <w:tblStyle w:val="afc"/>
        <w:tblW w:w="9994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638"/>
        <w:gridCol w:w="5386"/>
        <w:gridCol w:w="1323"/>
        <w:gridCol w:w="1323"/>
        <w:gridCol w:w="1324"/>
      </w:tblGrid>
      <w:tr w:rsidR="00AB5CF7" w14:paraId="0574E3FF" w14:textId="77777777">
        <w:trPr>
          <w:trHeight w:val="377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64C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8"/>
                <w:lang w:val="uk-UA" w:eastAsia="ru-RU"/>
              </w:rPr>
              <w:t>№ з/п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4ED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8"/>
                <w:lang w:val="uk-UA" w:eastAsia="ru-RU"/>
              </w:rPr>
              <w:t>Адреса фінансування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07A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uk-UA" w:eastAsia="ru-RU"/>
              </w:rPr>
              <w:t>Обсяг фінансування всього (грн.)</w:t>
            </w:r>
          </w:p>
        </w:tc>
      </w:tr>
      <w:tr w:rsidR="00AB5CF7" w14:paraId="1E412FF6" w14:textId="77777777">
        <w:trPr>
          <w:trHeight w:val="63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1DC" w14:textId="77777777" w:rsidR="00AB5CF7" w:rsidRDefault="00AB5CF7">
            <w:pPr>
              <w:spacing w:after="0" w:line="240" w:lineRule="auto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5E9" w14:textId="77777777" w:rsidR="00AB5CF7" w:rsidRDefault="00AB5CF7">
            <w:pPr>
              <w:spacing w:after="0" w:line="240" w:lineRule="auto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588C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>2025р.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6EB44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>2026р.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C8BEF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>2027р.</w:t>
            </w:r>
          </w:p>
        </w:tc>
      </w:tr>
      <w:tr w:rsidR="00AB5CF7" w14:paraId="122B46D3" w14:textId="77777777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9A591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42A" w14:textId="77777777" w:rsidR="00AB5CF7" w:rsidRDefault="002B723D">
            <w:pPr>
              <w:spacing w:after="0" w:line="240" w:lineRule="auto"/>
              <w:outlineLvl w:val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Забезпечення роботи та зміцнення матеріальної бази гуртків закладів позашкільної освіти, підтримки творчих дитячих колективів закладів позашкільної освіти: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3A282CF4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20 000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3251637C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7625387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31 000</w:t>
            </w:r>
          </w:p>
        </w:tc>
      </w:tr>
      <w:tr w:rsidR="00AB5CF7" w14:paraId="431126FD" w14:textId="77777777">
        <w:trPr>
          <w:trHeight w:val="1146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8CBF8" w14:textId="77777777" w:rsidR="00AB5CF7" w:rsidRDefault="00AB5CF7">
            <w:pPr>
              <w:spacing w:after="0" w:line="240" w:lineRule="auto"/>
              <w:jc w:val="center"/>
              <w:outlineLvl w:val="1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AF3B" w14:textId="77777777" w:rsidR="00AB5CF7" w:rsidRDefault="002B723D">
            <w:pPr>
              <w:spacing w:after="0" w:line="240" w:lineRule="auto"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>придбання матеріалів, інвентаря, витратних матеріалів для проведення роботи гуртків, функціонування творчих дитячих колективів  тощо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3AE01E82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10 000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42FF4448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55EB6867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17 000</w:t>
            </w:r>
          </w:p>
        </w:tc>
      </w:tr>
      <w:tr w:rsidR="00AB5CF7" w14:paraId="134F047D" w14:textId="77777777"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D26" w14:textId="77777777" w:rsidR="00AB5CF7" w:rsidRDefault="00AB5CF7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7FD" w14:textId="77777777" w:rsidR="00AB5CF7" w:rsidRDefault="002B723D">
            <w:pPr>
              <w:spacing w:after="0" w:line="240" w:lineRule="auto"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>придбання  паливно-мастильних матеріалів для проведення занять гуртка «Картинг» та  участі його вихованців у змаганнях з картингів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08D6FCB2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10 000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3AA8EC97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D8931F8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14 000</w:t>
            </w:r>
          </w:p>
        </w:tc>
      </w:tr>
      <w:tr w:rsidR="00AB5CF7" w14:paraId="289D4CC3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998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02D" w14:textId="77777777" w:rsidR="00AB5CF7" w:rsidRDefault="002B723D">
            <w:pPr>
              <w:spacing w:after="0" w:line="240" w:lineRule="auto"/>
              <w:rPr>
                <w:rFonts w:eastAsia="Calibri"/>
                <w:bCs/>
                <w:sz w:val="28"/>
                <w:szCs w:val="28"/>
              </w:rPr>
            </w:pPr>
            <w:r w:rsidRPr="008938D2">
              <w:rPr>
                <w:rFonts w:eastAsia="Calibri"/>
                <w:bCs/>
                <w:sz w:val="28"/>
                <w:szCs w:val="28"/>
                <w:lang w:val="uk-UA" w:eastAsia="ru-RU"/>
              </w:rPr>
              <w:t xml:space="preserve">Забезпечення участі вихованців </w:t>
            </w:r>
            <w:r w:rsidR="006479A5" w:rsidRPr="008938D2">
              <w:rPr>
                <w:rFonts w:eastAsia="Calibri"/>
                <w:bCs/>
                <w:sz w:val="28"/>
                <w:szCs w:val="28"/>
                <w:lang w:val="uk-UA" w:eastAsia="ru-RU"/>
              </w:rPr>
              <w:t>технічного напряму</w:t>
            </w:r>
            <w:r w:rsidRPr="008938D2">
              <w:rPr>
                <w:rFonts w:eastAsia="Calibri"/>
                <w:bCs/>
                <w:sz w:val="28"/>
                <w:szCs w:val="28"/>
                <w:lang w:val="uk-UA" w:eastAsia="ru-RU"/>
              </w:rPr>
              <w:t xml:space="preserve"> в обласних, </w:t>
            </w:r>
            <w:r>
              <w:rPr>
                <w:rFonts w:eastAsia="Calibri"/>
                <w:bCs/>
                <w:sz w:val="28"/>
                <w:szCs w:val="28"/>
                <w:lang w:val="uk-UA" w:eastAsia="ru-RU"/>
              </w:rPr>
              <w:t>Всеукраїнських конкурсах, змаганнях.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7E4CFDA9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7 000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6AAC28E3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69A98D44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7 000</w:t>
            </w:r>
          </w:p>
        </w:tc>
      </w:tr>
      <w:tr w:rsidR="00AB5CF7" w14:paraId="56854DDC" w14:textId="77777777" w:rsidTr="006D032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D43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48F" w14:textId="77777777" w:rsidR="00AB5CF7" w:rsidRDefault="002B723D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Вшанування переможців обласних, Всеукраїнських, міжнародних конкурсів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спортивних змагань 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FAE41" w14:textId="77777777" w:rsidR="00AB5CF7" w:rsidRPr="006D0327" w:rsidRDefault="001A09AE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 w:rsidRPr="006D0327">
              <w:rPr>
                <w:b/>
                <w:sz w:val="24"/>
                <w:szCs w:val="24"/>
                <w:lang w:val="uk-UA"/>
              </w:rPr>
              <w:t>236 660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7D0CDAA3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240 000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12C960C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260 000</w:t>
            </w:r>
          </w:p>
        </w:tc>
      </w:tr>
      <w:tr w:rsidR="00AB5CF7" w14:paraId="58339A02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25E" w14:textId="77777777" w:rsidR="00AB5CF7" w:rsidRDefault="00AB5CF7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7B00" w14:textId="77777777" w:rsidR="00AB5CF7" w:rsidRDefault="002B723D">
            <w:p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>кошти на одноразові заохочувальні премії (вихованцям та керівникам гуртків (за один окремий номер, виріб) ЦДЮТ)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5D1C6339" w14:textId="77777777" w:rsidR="00AB5CF7" w:rsidRDefault="001A09AE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6D0327">
              <w:rPr>
                <w:sz w:val="24"/>
                <w:szCs w:val="24"/>
                <w:lang w:val="uk-UA"/>
              </w:rPr>
              <w:t>204 840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251772B3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0F981393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210 000</w:t>
            </w:r>
          </w:p>
        </w:tc>
      </w:tr>
      <w:tr w:rsidR="00AB5CF7" w14:paraId="26C6D714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3FD" w14:textId="77777777" w:rsidR="00AB5CF7" w:rsidRDefault="00AB5CF7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504" w14:textId="77777777" w:rsidR="00AB5CF7" w:rsidRDefault="002B723D">
            <w:p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>кошти на одноразові заохочувальні премії (вихованцям та керівникам  спортивних секцій (за кожен диплом сумарно)  ДЮСШ)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03CD47B5" w14:textId="77777777" w:rsidR="00AB5CF7" w:rsidRDefault="001A09AE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6D0327">
              <w:rPr>
                <w:sz w:val="24"/>
                <w:szCs w:val="24"/>
                <w:lang w:val="uk-UA"/>
              </w:rPr>
              <w:t>31 820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7544A8A4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66069D21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50 000</w:t>
            </w:r>
          </w:p>
        </w:tc>
      </w:tr>
      <w:tr w:rsidR="00AB5CF7" w14:paraId="4D496983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6CF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40B" w14:textId="77777777" w:rsidR="00AB5CF7" w:rsidRDefault="002B723D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Придбання грамот</w:t>
            </w:r>
            <w:r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дипломів та інше для нагородження переможців 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2C0269D3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73A298FE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3FD44435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2 000</w:t>
            </w:r>
          </w:p>
        </w:tc>
      </w:tr>
      <w:tr w:rsidR="00AB5CF7" w14:paraId="22D63D68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2A4" w14:textId="77777777" w:rsidR="00AB5CF7" w:rsidRDefault="002B723D">
            <w:pPr>
              <w:spacing w:after="0" w:line="240" w:lineRule="auto"/>
              <w:jc w:val="center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E36" w14:textId="77777777" w:rsidR="00AB5CF7" w:rsidRDefault="002B723D">
            <w:pPr>
              <w:spacing w:after="0" w:line="240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Забезпечення підвозу вихованців та їх керівників для участі  у проведенні нагородження переможців, оплати транспортних послуг за підвезення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6ED53CAB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10 000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05856F07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12 000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6B01102B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15 000</w:t>
            </w:r>
          </w:p>
        </w:tc>
      </w:tr>
      <w:tr w:rsidR="00AB5CF7" w14:paraId="21119CBE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4F5" w14:textId="77777777" w:rsidR="00AB5CF7" w:rsidRDefault="00AB5CF7">
            <w:pPr>
              <w:spacing w:after="0" w:line="240" w:lineRule="auto"/>
              <w:outlineLvl w:val="1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AFE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0C2" w14:textId="77777777" w:rsidR="00AB5CF7" w:rsidRDefault="001A09AE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 w:rsidRPr="006D0327">
              <w:rPr>
                <w:b/>
                <w:sz w:val="24"/>
                <w:szCs w:val="24"/>
                <w:lang w:val="uk-UA"/>
              </w:rPr>
              <w:t>275 660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E31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287 000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DDE" w14:textId="77777777" w:rsidR="00AB5CF7" w:rsidRDefault="002B723D">
            <w:pPr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315 000</w:t>
            </w:r>
          </w:p>
        </w:tc>
      </w:tr>
    </w:tbl>
    <w:p w14:paraId="3BB6D640" w14:textId="77777777" w:rsidR="00AB5CF7" w:rsidRDefault="00AB5CF7">
      <w:pPr>
        <w:spacing w:after="60" w:line="240" w:lineRule="auto"/>
        <w:jc w:val="center"/>
        <w:outlineLvl w:val="1"/>
        <w:rPr>
          <w:color w:val="000000" w:themeColor="text1"/>
          <w:sz w:val="28"/>
          <w:szCs w:val="28"/>
          <w:lang w:val="uk-UA" w:eastAsia="ru-RU"/>
        </w:rPr>
        <w:sectPr w:rsidR="00AB5CF7">
          <w:headerReference w:type="default" r:id="rId7"/>
          <w:headerReference w:type="first" r:id="rId8"/>
          <w:footerReference w:type="first" r:id="rId9"/>
          <w:pgSz w:w="11906" w:h="16838"/>
          <w:pgMar w:top="1134" w:right="567" w:bottom="1134" w:left="1701" w:header="709" w:footer="709" w:gutter="0"/>
          <w:cols w:space="708"/>
          <w:titlePg/>
        </w:sectPr>
      </w:pPr>
    </w:p>
    <w:p w14:paraId="70463C0D" w14:textId="77777777" w:rsidR="00AB5CF7" w:rsidRDefault="002C5F6A">
      <w:pPr>
        <w:spacing w:after="0" w:line="240" w:lineRule="auto"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lastRenderedPageBreak/>
        <w:t>10</w:t>
      </w:r>
      <w:r w:rsidR="002B723D">
        <w:rPr>
          <w:b/>
          <w:color w:val="000000" w:themeColor="text1"/>
          <w:sz w:val="28"/>
          <w:szCs w:val="28"/>
          <w:lang w:val="uk-UA" w:eastAsia="ru-RU"/>
        </w:rPr>
        <w:t xml:space="preserve">.1. Орієнтовне фінансування забезпечення Програми (2025-2027 рр.)  </w:t>
      </w:r>
    </w:p>
    <w:p w14:paraId="517AA0A7" w14:textId="77777777" w:rsidR="00AB5CF7" w:rsidRDefault="002B723D">
      <w:pPr>
        <w:spacing w:after="0" w:line="240" w:lineRule="auto"/>
        <w:jc w:val="center"/>
        <w:outlineLvl w:val="1"/>
      </w:pPr>
      <w:r>
        <w:rPr>
          <w:b/>
          <w:color w:val="000000" w:themeColor="text1"/>
          <w:sz w:val="28"/>
          <w:szCs w:val="28"/>
          <w:lang w:val="uk-UA" w:eastAsia="ru-RU"/>
        </w:rPr>
        <w:t>ЦДЮТ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611"/>
        <w:gridCol w:w="706"/>
        <w:gridCol w:w="893"/>
        <w:gridCol w:w="697"/>
        <w:gridCol w:w="893"/>
        <w:gridCol w:w="893"/>
        <w:gridCol w:w="893"/>
        <w:gridCol w:w="737"/>
        <w:gridCol w:w="893"/>
        <w:gridCol w:w="893"/>
        <w:gridCol w:w="893"/>
        <w:gridCol w:w="881"/>
        <w:gridCol w:w="893"/>
        <w:gridCol w:w="893"/>
        <w:gridCol w:w="893"/>
      </w:tblGrid>
      <w:tr w:rsidR="00AB5CF7" w14:paraId="4D3DBF09" w14:textId="77777777">
        <w:trPr>
          <w:trHeight w:val="131"/>
        </w:trPr>
        <w:tc>
          <w:tcPr>
            <w:tcW w:w="1611" w:type="dxa"/>
            <w:vMerge w:val="restart"/>
          </w:tcPr>
          <w:p w14:paraId="6872101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</w:p>
          <w:p w14:paraId="7AE031F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</w:p>
        </w:tc>
        <w:tc>
          <w:tcPr>
            <w:tcW w:w="1599" w:type="dxa"/>
            <w:gridSpan w:val="2"/>
            <w:vMerge w:val="restart"/>
          </w:tcPr>
          <w:p w14:paraId="05EAF635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 фінансування</w:t>
            </w:r>
          </w:p>
          <w:p w14:paraId="21F3F86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</w:t>
            </w:r>
          </w:p>
          <w:p w14:paraId="278CE37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Рівень</w:t>
            </w:r>
          </w:p>
        </w:tc>
        <w:tc>
          <w:tcPr>
            <w:tcW w:w="3376" w:type="dxa"/>
            <w:gridSpan w:val="4"/>
            <w:tcBorders>
              <w:bottom w:val="single" w:sz="4" w:space="0" w:color="auto"/>
            </w:tcBorders>
          </w:tcPr>
          <w:p w14:paraId="62FEABC9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34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F112545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35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FCFAD72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</w:tr>
      <w:tr w:rsidR="00AB5CF7" w14:paraId="33F52E8B" w14:textId="77777777">
        <w:trPr>
          <w:trHeight w:val="761"/>
        </w:trPr>
        <w:tc>
          <w:tcPr>
            <w:tcW w:w="1611" w:type="dxa"/>
            <w:vMerge/>
          </w:tcPr>
          <w:p w14:paraId="54D6A731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  <w:gridSpan w:val="2"/>
            <w:vMerge/>
          </w:tcPr>
          <w:p w14:paraId="49D8E45B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20BD63E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Гран-прі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CAF786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12A9EFB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C5D1399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39C59432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</w:p>
          <w:p w14:paraId="6BD3242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E1F75F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</w:p>
          <w:p w14:paraId="37FC5CD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14:paraId="6781959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7154AF9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Гран-прі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8E26AE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012D3C8D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3F78AC0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136BD12D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</w:p>
          <w:p w14:paraId="2A44615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14:paraId="1C5851E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</w:p>
          <w:p w14:paraId="034BD7D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14:paraId="0FA3949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</w:tcPr>
          <w:p w14:paraId="1189388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Гран-прі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5849AC2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1D5EB86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55D5058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6842227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</w:p>
          <w:p w14:paraId="4C32582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26C86D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</w:p>
          <w:p w14:paraId="587EBD0D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14:paraId="112783B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</w:tr>
      <w:tr w:rsidR="00AB5CF7" w14:paraId="08D2E910" w14:textId="77777777">
        <w:trPr>
          <w:trHeight w:val="724"/>
        </w:trPr>
        <w:tc>
          <w:tcPr>
            <w:tcW w:w="1611" w:type="dxa"/>
          </w:tcPr>
          <w:p w14:paraId="60075845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  <w:gridSpan w:val="2"/>
          </w:tcPr>
          <w:p w14:paraId="14D23DBD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76" w:type="dxa"/>
            <w:gridSpan w:val="4"/>
            <w:tcBorders>
              <w:top w:val="single" w:sz="4" w:space="0" w:color="auto"/>
            </w:tcBorders>
          </w:tcPr>
          <w:p w14:paraId="60973A0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Сума за один диплом</w:t>
            </w:r>
          </w:p>
          <w:p w14:paraId="2498F0A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(без оподаткування),  грн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A54608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Сума за один диплом</w:t>
            </w:r>
          </w:p>
          <w:p w14:paraId="3206ECB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(без оподаткування),  грн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EB2DBC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Сума за один диплом</w:t>
            </w:r>
          </w:p>
          <w:p w14:paraId="3EA631D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(без оподаткування),  грн</w:t>
            </w:r>
          </w:p>
        </w:tc>
      </w:tr>
      <w:tr w:rsidR="00AB5CF7" w14:paraId="5621D54A" w14:textId="77777777">
        <w:trPr>
          <w:cantSplit/>
          <w:trHeight w:val="792"/>
        </w:trPr>
        <w:tc>
          <w:tcPr>
            <w:tcW w:w="1611" w:type="dxa"/>
            <w:vMerge w:val="restart"/>
          </w:tcPr>
          <w:p w14:paraId="1E43CA21" w14:textId="77777777" w:rsidR="00AB5CF7" w:rsidRDefault="002B723D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індивідуальні премії</w:t>
            </w: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  <w:textDirection w:val="btLr"/>
          </w:tcPr>
          <w:p w14:paraId="29AE1A1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 </w:t>
            </w:r>
          </w:p>
          <w:p w14:paraId="172CF1B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14315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Офлайн</w:t>
            </w:r>
            <w:proofErr w:type="spellEnd"/>
          </w:p>
          <w:p w14:paraId="0CB75B6B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13AC2BA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64D55E0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FE4596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64694F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CCDABB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9403E4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0A109B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CFFBED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A4887B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</w:tcBorders>
          </w:tcPr>
          <w:p w14:paraId="1B8B098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3FF9C45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6BEEAD0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3E6FBFF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6023BD4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AB5CF7" w14:paraId="08639E22" w14:textId="77777777">
        <w:trPr>
          <w:cantSplit/>
          <w:trHeight w:val="965"/>
        </w:trPr>
        <w:tc>
          <w:tcPr>
            <w:tcW w:w="1611" w:type="dxa"/>
            <w:vMerge/>
          </w:tcPr>
          <w:p w14:paraId="6B005910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765AB35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5D569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Онлайн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77B91015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11AAE7E6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48F162E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052C251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1F594EF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255F8A2A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5D4431F7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03A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</w:tcPr>
          <w:p w14:paraId="08042F57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2398CDE9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38202B0D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5206F88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</w:tr>
      <w:tr w:rsidR="00AB5CF7" w14:paraId="51E9FFE7" w14:textId="77777777">
        <w:trPr>
          <w:cantSplit/>
          <w:trHeight w:val="987"/>
        </w:trPr>
        <w:tc>
          <w:tcPr>
            <w:tcW w:w="1611" w:type="dxa"/>
            <w:vMerge/>
          </w:tcPr>
          <w:p w14:paraId="70B63D24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A547029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Всеукраїнський</w:t>
            </w:r>
          </w:p>
          <w:p w14:paraId="345FA5E5" w14:textId="77777777" w:rsidR="00AB5CF7" w:rsidRDefault="002B723D">
            <w:pP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міжнародний  етапи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C033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Офлайн</w:t>
            </w:r>
            <w:proofErr w:type="spellEnd"/>
          </w:p>
          <w:p w14:paraId="4EC4BB62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C558D58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91C54A4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EE7F22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342263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7BC23BC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57CACB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AFADDE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51F65D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2093E12C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18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723E5D3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5D8AE0E5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33E289D5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14CE85A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B5CF7" w14:paraId="67B7EEFC" w14:textId="77777777">
        <w:trPr>
          <w:cantSplit/>
          <w:trHeight w:val="1195"/>
        </w:trPr>
        <w:tc>
          <w:tcPr>
            <w:tcW w:w="1611" w:type="dxa"/>
            <w:vMerge/>
          </w:tcPr>
          <w:p w14:paraId="190B2F84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tcBorders>
              <w:right w:val="single" w:sz="4" w:space="0" w:color="auto"/>
            </w:tcBorders>
            <w:textDirection w:val="btLr"/>
          </w:tcPr>
          <w:p w14:paraId="5D2A9253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53C5CE8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Онлайн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7C5198E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F723E4B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7CCC97B0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FE42FFA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011592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3496AE2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3A4A8E0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14:paraId="2EEF6727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</w:tcPr>
          <w:p w14:paraId="31550B7A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26A605AA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A340307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8650D31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B5CF7" w14:paraId="50E1E01D" w14:textId="77777777">
        <w:trPr>
          <w:cantSplit/>
          <w:trHeight w:val="833"/>
        </w:trPr>
        <w:tc>
          <w:tcPr>
            <w:tcW w:w="1611" w:type="dxa"/>
            <w:vMerge w:val="restart"/>
          </w:tcPr>
          <w:p w14:paraId="16581FC0" w14:textId="77777777" w:rsidR="00AB5CF7" w:rsidRDefault="002B723D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</w:p>
          <w:p w14:paraId="4DC6D94C" w14:textId="77777777" w:rsidR="00AB5CF7" w:rsidRDefault="002B723D">
            <w:pPr>
              <w:spacing w:after="0" w:line="240" w:lineRule="auto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>премії на колективи</w:t>
            </w: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  <w:textDirection w:val="btLr"/>
          </w:tcPr>
          <w:p w14:paraId="608B1C9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Обласний </w:t>
            </w:r>
          </w:p>
          <w:p w14:paraId="53D3A5FD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7993C76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Офлайн</w:t>
            </w:r>
            <w:proofErr w:type="spellEnd"/>
          </w:p>
          <w:p w14:paraId="3555BB38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4FC367A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AC2A5B6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85C043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D1AAEA9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33AB6CD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27AB5FD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8A494DC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CEF8F9D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3D65761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</w:tcBorders>
          </w:tcPr>
          <w:p w14:paraId="78712EF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2922CFC9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378A0BC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45F31FF2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1B1D5F6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</w:tr>
      <w:tr w:rsidR="00AB5CF7" w14:paraId="784183F7" w14:textId="77777777">
        <w:trPr>
          <w:cantSplit/>
          <w:trHeight w:val="924"/>
        </w:trPr>
        <w:tc>
          <w:tcPr>
            <w:tcW w:w="1611" w:type="dxa"/>
            <w:vMerge/>
          </w:tcPr>
          <w:p w14:paraId="045F8F62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10C43B8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ECEA0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Онлайн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7998F5E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191DC851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269A83A0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10B84D72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97FCA5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682EAE4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779DA88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BF7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</w:tcPr>
          <w:p w14:paraId="44236689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1D216D83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267308F7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262BC56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</w:tr>
      <w:tr w:rsidR="00AB5CF7" w14:paraId="7BCB4F23" w14:textId="77777777">
        <w:trPr>
          <w:cantSplit/>
          <w:trHeight w:val="831"/>
        </w:trPr>
        <w:tc>
          <w:tcPr>
            <w:tcW w:w="1611" w:type="dxa"/>
            <w:vMerge/>
          </w:tcPr>
          <w:p w14:paraId="0470A2BB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01F871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Всеукраїнський</w:t>
            </w:r>
          </w:p>
          <w:p w14:paraId="048F8A08" w14:textId="77777777" w:rsidR="00AB5CF7" w:rsidRDefault="002B723D">
            <w:pP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міжнародний  етапи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EF96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Офлайн</w:t>
            </w:r>
            <w:proofErr w:type="spellEnd"/>
          </w:p>
          <w:p w14:paraId="00A28325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58DC1AF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A4C4CF6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C315E72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4D01168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3DCA0E1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B8B420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871C15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3F121D0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34F0CF9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E39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0620766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266C3CD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2167E18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29429E9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</w:tr>
      <w:tr w:rsidR="00AB5CF7" w14:paraId="08229453" w14:textId="77777777">
        <w:trPr>
          <w:cantSplit/>
          <w:trHeight w:val="1046"/>
        </w:trPr>
        <w:tc>
          <w:tcPr>
            <w:tcW w:w="1611" w:type="dxa"/>
            <w:vMerge/>
          </w:tcPr>
          <w:p w14:paraId="41A7DFB6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tcBorders>
              <w:right w:val="single" w:sz="4" w:space="0" w:color="auto"/>
            </w:tcBorders>
            <w:textDirection w:val="btLr"/>
          </w:tcPr>
          <w:p w14:paraId="603E1578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3" w:right="137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8CA79F4" w14:textId="77777777" w:rsidR="00AB5CF7" w:rsidRDefault="002B723D">
            <w:pP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Онлайн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AB56BE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3CF9EDE3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B27FD4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82D32AA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8FD665E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C4D1058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378E4E6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14:paraId="1FF218B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</w:tcPr>
          <w:p w14:paraId="25AB9B39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36E92A7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03FCEC4F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19024BCC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</w:tbl>
    <w:p w14:paraId="31A0E502" w14:textId="77777777" w:rsidR="00AB5CF7" w:rsidRDefault="00AB5CF7">
      <w:pPr>
        <w:spacing w:after="0" w:line="240" w:lineRule="auto"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</w:p>
    <w:p w14:paraId="047E41B1" w14:textId="77777777" w:rsidR="00AB5CF7" w:rsidRDefault="00AB5CF7">
      <w:pPr>
        <w:spacing w:after="0" w:line="240" w:lineRule="auto"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</w:p>
    <w:p w14:paraId="7AAACD1C" w14:textId="77777777" w:rsidR="00AB5CF7" w:rsidRDefault="002C5F6A">
      <w:pPr>
        <w:spacing w:after="0" w:line="240" w:lineRule="auto"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>10</w:t>
      </w:r>
      <w:r w:rsidR="002B723D">
        <w:rPr>
          <w:b/>
          <w:color w:val="000000" w:themeColor="text1"/>
          <w:sz w:val="28"/>
          <w:szCs w:val="28"/>
          <w:lang w:val="uk-UA" w:eastAsia="ru-RU"/>
        </w:rPr>
        <w:t xml:space="preserve">.2. Орієнтовне фінансування забезпечення Програми (2025-2027 рр.)  </w:t>
      </w:r>
    </w:p>
    <w:p w14:paraId="058B92A7" w14:textId="77777777" w:rsidR="00AB5CF7" w:rsidRDefault="002B723D">
      <w:pPr>
        <w:spacing w:after="0" w:line="240" w:lineRule="auto"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>ДЮСШ</w:t>
      </w:r>
    </w:p>
    <w:p w14:paraId="5685BE4C" w14:textId="77777777" w:rsidR="00AB5CF7" w:rsidRDefault="00AB5CF7">
      <w:pPr>
        <w:rPr>
          <w:lang w:val="uk-UA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635"/>
        <w:gridCol w:w="1567"/>
        <w:gridCol w:w="1188"/>
        <w:gridCol w:w="1134"/>
        <w:gridCol w:w="1178"/>
        <w:gridCol w:w="1090"/>
        <w:gridCol w:w="1275"/>
        <w:gridCol w:w="1119"/>
        <w:gridCol w:w="1149"/>
        <w:gridCol w:w="1134"/>
        <w:gridCol w:w="1093"/>
      </w:tblGrid>
      <w:tr w:rsidR="00AB5CF7" w14:paraId="4AB122D7" w14:textId="77777777">
        <w:trPr>
          <w:trHeight w:val="131"/>
        </w:trPr>
        <w:tc>
          <w:tcPr>
            <w:tcW w:w="1635" w:type="dxa"/>
            <w:vMerge w:val="restart"/>
          </w:tcPr>
          <w:p w14:paraId="63E25B3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</w:p>
          <w:p w14:paraId="7DD19B7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</w:p>
        </w:tc>
        <w:tc>
          <w:tcPr>
            <w:tcW w:w="1567" w:type="dxa"/>
            <w:vMerge w:val="restart"/>
          </w:tcPr>
          <w:p w14:paraId="6D45888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 фінансування</w:t>
            </w:r>
          </w:p>
          <w:p w14:paraId="1F92B546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5A41145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Рівень</w:t>
            </w:r>
          </w:p>
        </w:tc>
        <w:tc>
          <w:tcPr>
            <w:tcW w:w="3500" w:type="dxa"/>
            <w:gridSpan w:val="3"/>
            <w:tcBorders>
              <w:bottom w:val="single" w:sz="4" w:space="0" w:color="auto"/>
            </w:tcBorders>
          </w:tcPr>
          <w:p w14:paraId="0DB7677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34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0909BC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3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C7526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</w:tr>
      <w:tr w:rsidR="00AB5CF7" w14:paraId="47DC5E0A" w14:textId="77777777">
        <w:trPr>
          <w:trHeight w:val="761"/>
        </w:trPr>
        <w:tc>
          <w:tcPr>
            <w:tcW w:w="1635" w:type="dxa"/>
            <w:vMerge/>
          </w:tcPr>
          <w:p w14:paraId="089281C1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567" w:type="dxa"/>
            <w:vMerge/>
          </w:tcPr>
          <w:p w14:paraId="77886EF3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4815561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7593925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ступеня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619DA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70E9A9F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  <w:p w14:paraId="4F2A5F9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27A11AD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6A8E6EE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14:paraId="7542AAB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199B9A1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0173A1B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ступеня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0F2A1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7CCE9AE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  <w:p w14:paraId="1D1A9B5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</w:tcPr>
          <w:p w14:paraId="20C539D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49487E3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14:paraId="7D1DE12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14:paraId="7E53C70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6F07F99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FFEF4C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</w:t>
            </w:r>
          </w:p>
          <w:p w14:paraId="1301C89F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</w:p>
          <w:p w14:paraId="467A2A1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14:paraId="57ACB1C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</w:p>
          <w:p w14:paraId="172C225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14:paraId="132D31C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rPr>
                <w:sz w:val="20"/>
                <w:szCs w:val="20"/>
                <w:lang w:val="uk-UA"/>
              </w:rPr>
              <w:t>ступеня</w:t>
            </w:r>
          </w:p>
        </w:tc>
      </w:tr>
      <w:tr w:rsidR="00AB5CF7" w14:paraId="2D697965" w14:textId="77777777">
        <w:trPr>
          <w:trHeight w:val="441"/>
        </w:trPr>
        <w:tc>
          <w:tcPr>
            <w:tcW w:w="1635" w:type="dxa"/>
          </w:tcPr>
          <w:p w14:paraId="6C1073EE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7" w:type="dxa"/>
          </w:tcPr>
          <w:p w14:paraId="4E3C6A8B" w14:textId="77777777" w:rsidR="00AB5CF7" w:rsidRDefault="00AB5C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</w:tcPr>
          <w:p w14:paraId="7ED044B6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Сума за один диплом</w:t>
            </w:r>
          </w:p>
          <w:p w14:paraId="16E901BE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(без оподаткування),  грн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3F480D0" w14:textId="77777777" w:rsidR="00AB5CF7" w:rsidRDefault="002B723D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Сума за один диплом</w:t>
            </w:r>
          </w:p>
          <w:p w14:paraId="55FE542C" w14:textId="77777777" w:rsidR="00AB5CF7" w:rsidRDefault="002B723D">
            <w:pPr>
              <w:spacing w:after="0" w:line="240" w:lineRule="auto"/>
            </w:pPr>
            <w:r>
              <w:rPr>
                <w:b/>
                <w:sz w:val="20"/>
                <w:szCs w:val="20"/>
                <w:lang w:val="uk-UA"/>
              </w:rPr>
              <w:t>(без оподаткування),  грн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F0070F" w14:textId="77777777" w:rsidR="00AB5CF7" w:rsidRDefault="002B723D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Сума за один диплом</w:t>
            </w:r>
          </w:p>
          <w:p w14:paraId="4B4B9394" w14:textId="77777777" w:rsidR="00AB5CF7" w:rsidRDefault="002B723D">
            <w:pPr>
              <w:spacing w:after="0" w:line="240" w:lineRule="auto"/>
            </w:pPr>
            <w:r>
              <w:rPr>
                <w:b/>
                <w:sz w:val="20"/>
                <w:szCs w:val="20"/>
                <w:lang w:val="uk-UA"/>
              </w:rPr>
              <w:t>(без оподаткування),  грн</w:t>
            </w:r>
          </w:p>
        </w:tc>
      </w:tr>
      <w:tr w:rsidR="00AB5CF7" w14:paraId="43C0798D" w14:textId="77777777">
        <w:trPr>
          <w:trHeight w:val="1223"/>
        </w:trPr>
        <w:tc>
          <w:tcPr>
            <w:tcW w:w="1635" w:type="dxa"/>
            <w:vMerge w:val="restart"/>
          </w:tcPr>
          <w:p w14:paraId="4262EF5C" w14:textId="77777777" w:rsidR="00AB5CF7" w:rsidRDefault="002B723D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Вшанування переможців обласних, Всеукраїнських, міжнародних змагань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Індивідуальні премії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688563D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Обласний</w:t>
            </w:r>
          </w:p>
          <w:p w14:paraId="605399D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етап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2411D6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10D10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B2FDBA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609710C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42D72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19" w:type="dxa"/>
            <w:tcBorders>
              <w:bottom w:val="single" w:sz="4" w:space="0" w:color="auto"/>
              <w:right w:val="single" w:sz="4" w:space="0" w:color="auto"/>
            </w:tcBorders>
          </w:tcPr>
          <w:p w14:paraId="16453F33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14:paraId="7996524D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E05ED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38A241B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B5CF7" w14:paraId="6113E131" w14:textId="77777777">
        <w:trPr>
          <w:trHeight w:val="1510"/>
        </w:trPr>
        <w:tc>
          <w:tcPr>
            <w:tcW w:w="1635" w:type="dxa"/>
            <w:vMerge/>
          </w:tcPr>
          <w:p w14:paraId="4A03EF2A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13FAE90A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Всеукраїнський</w:t>
            </w:r>
          </w:p>
          <w:p w14:paraId="1BCAE2C0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міжнародний  етапи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5169A97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97A355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1D61D0F1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4C9977F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9BB3A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8E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14:paraId="66F676C8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837C554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</w:tcBorders>
          </w:tcPr>
          <w:p w14:paraId="2E99E5DB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  <w:tr w:rsidR="00AB5CF7" w14:paraId="76AC726A" w14:textId="77777777">
        <w:trPr>
          <w:trHeight w:val="1225"/>
        </w:trPr>
        <w:tc>
          <w:tcPr>
            <w:tcW w:w="1635" w:type="dxa"/>
            <w:vMerge/>
          </w:tcPr>
          <w:p w14:paraId="52B2FE73" w14:textId="77777777" w:rsidR="00AB5CF7" w:rsidRDefault="00AB5CF7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14:paraId="37D85FF7" w14:textId="77777777" w:rsidR="00AB5CF7" w:rsidRDefault="002B72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Чемпіонат України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02E64693" w14:textId="77777777" w:rsidR="00AB5CF7" w:rsidRDefault="002B723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2E1F96" w14:textId="77777777" w:rsidR="00AB5CF7" w:rsidRDefault="002B723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1F7EA174" w14:textId="77777777" w:rsidR="00AB5CF7" w:rsidRDefault="002B723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58048F18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F26F26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</w:tcPr>
          <w:p w14:paraId="0C9EE012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14:paraId="4606CF28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E46095A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14:paraId="2FE170AD" w14:textId="77777777" w:rsidR="00AB5CF7" w:rsidRDefault="002B723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</w:tbl>
    <w:p w14:paraId="50AE36FB" w14:textId="77777777" w:rsidR="00AB5CF7" w:rsidRDefault="00AB5CF7"/>
    <w:p w14:paraId="4680195E" w14:textId="77777777" w:rsidR="00AB5CF7" w:rsidRDefault="002B723D">
      <w:pPr>
        <w:spacing w:after="60" w:line="24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</w:p>
    <w:p w14:paraId="3B5A115A" w14:textId="77777777" w:rsidR="00AB5CF7" w:rsidRDefault="002B723D">
      <w:pPr>
        <w:spacing w:after="60" w:line="240" w:lineRule="auto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Менської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ЛУК’ЯНЕНКО</w:t>
      </w:r>
    </w:p>
    <w:sectPr w:rsidR="00AB5CF7">
      <w:pgSz w:w="15840" w:h="12240" w:orient="landscape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93EFB" w14:textId="77777777" w:rsidR="00DE6D7A" w:rsidRDefault="00DE6D7A">
      <w:pPr>
        <w:spacing w:after="0" w:line="240" w:lineRule="auto"/>
      </w:pPr>
      <w:r>
        <w:separator/>
      </w:r>
    </w:p>
  </w:endnote>
  <w:endnote w:type="continuationSeparator" w:id="0">
    <w:p w14:paraId="33EA3B3C" w14:textId="77777777" w:rsidR="00DE6D7A" w:rsidRDefault="00DE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F45FA" w14:textId="77777777" w:rsidR="000E68E0" w:rsidRDefault="000E68E0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72645" w14:textId="77777777" w:rsidR="00DE6D7A" w:rsidRDefault="00DE6D7A">
      <w:pPr>
        <w:spacing w:after="0" w:line="240" w:lineRule="auto"/>
      </w:pPr>
      <w:r>
        <w:separator/>
      </w:r>
    </w:p>
  </w:footnote>
  <w:footnote w:type="continuationSeparator" w:id="0">
    <w:p w14:paraId="35E8FF21" w14:textId="77777777" w:rsidR="00DE6D7A" w:rsidRDefault="00DE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DB9F" w14:textId="77777777" w:rsidR="000E68E0" w:rsidRDefault="000E68E0">
    <w:pPr>
      <w:pStyle w:val="aff1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  <w:p w14:paraId="42452C45" w14:textId="77777777" w:rsidR="000E68E0" w:rsidRDefault="000E68E0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11FEB" w14:textId="77777777" w:rsidR="000E68E0" w:rsidRDefault="000E68E0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55A"/>
    <w:multiLevelType w:val="hybridMultilevel"/>
    <w:tmpl w:val="8A60E67E"/>
    <w:lvl w:ilvl="0" w:tplc="35DC85B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D79369D"/>
    <w:multiLevelType w:val="multilevel"/>
    <w:tmpl w:val="D7E4E5EA"/>
    <w:lvl w:ilvl="0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2" w15:restartNumberingAfterBreak="0">
    <w:nsid w:val="3E602B8C"/>
    <w:multiLevelType w:val="hybridMultilevel"/>
    <w:tmpl w:val="863414FA"/>
    <w:lvl w:ilvl="0" w:tplc="58A8974A">
      <w:start w:val="3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4175EB2"/>
    <w:multiLevelType w:val="multilevel"/>
    <w:tmpl w:val="3AC8806C"/>
    <w:lvl w:ilvl="0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4" w15:restartNumberingAfterBreak="0">
    <w:nsid w:val="48604F94"/>
    <w:multiLevelType w:val="hybridMultilevel"/>
    <w:tmpl w:val="913C18A2"/>
    <w:lvl w:ilvl="0" w:tplc="121E6C98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5B61D4A"/>
    <w:multiLevelType w:val="multilevel"/>
    <w:tmpl w:val="B058BE48"/>
    <w:lvl w:ilvl="0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F7"/>
    <w:rsid w:val="00015147"/>
    <w:rsid w:val="000158CC"/>
    <w:rsid w:val="00023705"/>
    <w:rsid w:val="00031E9B"/>
    <w:rsid w:val="000872C2"/>
    <w:rsid w:val="000A3280"/>
    <w:rsid w:val="000A35AE"/>
    <w:rsid w:val="000C2C44"/>
    <w:rsid w:val="000E68E0"/>
    <w:rsid w:val="0010407B"/>
    <w:rsid w:val="00110F04"/>
    <w:rsid w:val="001127B1"/>
    <w:rsid w:val="001278AD"/>
    <w:rsid w:val="001316F8"/>
    <w:rsid w:val="00133CC2"/>
    <w:rsid w:val="00144F21"/>
    <w:rsid w:val="00146DB5"/>
    <w:rsid w:val="0016005F"/>
    <w:rsid w:val="001820C4"/>
    <w:rsid w:val="0019252C"/>
    <w:rsid w:val="001A09AE"/>
    <w:rsid w:val="001E1976"/>
    <w:rsid w:val="001F6F6E"/>
    <w:rsid w:val="00210CE7"/>
    <w:rsid w:val="00237DE1"/>
    <w:rsid w:val="00240CA1"/>
    <w:rsid w:val="00271535"/>
    <w:rsid w:val="002A478C"/>
    <w:rsid w:val="002B723D"/>
    <w:rsid w:val="002C5F6A"/>
    <w:rsid w:val="002E72CB"/>
    <w:rsid w:val="002F10BC"/>
    <w:rsid w:val="002F2212"/>
    <w:rsid w:val="00304E3B"/>
    <w:rsid w:val="00310E42"/>
    <w:rsid w:val="00336D33"/>
    <w:rsid w:val="003422FF"/>
    <w:rsid w:val="00342AE7"/>
    <w:rsid w:val="0034733F"/>
    <w:rsid w:val="00351EBE"/>
    <w:rsid w:val="0036178A"/>
    <w:rsid w:val="00363F0D"/>
    <w:rsid w:val="0037003D"/>
    <w:rsid w:val="003C1CE4"/>
    <w:rsid w:val="003C64D6"/>
    <w:rsid w:val="003E299E"/>
    <w:rsid w:val="00405038"/>
    <w:rsid w:val="00416808"/>
    <w:rsid w:val="004328E6"/>
    <w:rsid w:val="00443399"/>
    <w:rsid w:val="00454EF9"/>
    <w:rsid w:val="00460969"/>
    <w:rsid w:val="00465B1E"/>
    <w:rsid w:val="0047471A"/>
    <w:rsid w:val="00484CB5"/>
    <w:rsid w:val="004864B6"/>
    <w:rsid w:val="004C331C"/>
    <w:rsid w:val="004C701C"/>
    <w:rsid w:val="004D39B8"/>
    <w:rsid w:val="004E37EC"/>
    <w:rsid w:val="0051436D"/>
    <w:rsid w:val="00530768"/>
    <w:rsid w:val="00544AE1"/>
    <w:rsid w:val="00567786"/>
    <w:rsid w:val="00590E39"/>
    <w:rsid w:val="00595A07"/>
    <w:rsid w:val="005A002D"/>
    <w:rsid w:val="005A0CA0"/>
    <w:rsid w:val="005C6E84"/>
    <w:rsid w:val="005F0D3C"/>
    <w:rsid w:val="005F3AC2"/>
    <w:rsid w:val="00617482"/>
    <w:rsid w:val="006479A5"/>
    <w:rsid w:val="00680FA8"/>
    <w:rsid w:val="006834A1"/>
    <w:rsid w:val="0068505C"/>
    <w:rsid w:val="006B449B"/>
    <w:rsid w:val="006C3971"/>
    <w:rsid w:val="006C5923"/>
    <w:rsid w:val="006D0327"/>
    <w:rsid w:val="006F60D4"/>
    <w:rsid w:val="00704CE1"/>
    <w:rsid w:val="007278A9"/>
    <w:rsid w:val="00727B1C"/>
    <w:rsid w:val="00730A7F"/>
    <w:rsid w:val="00744C76"/>
    <w:rsid w:val="00755FD5"/>
    <w:rsid w:val="007566BA"/>
    <w:rsid w:val="007666A7"/>
    <w:rsid w:val="00775D40"/>
    <w:rsid w:val="00794618"/>
    <w:rsid w:val="007B25D3"/>
    <w:rsid w:val="007C7570"/>
    <w:rsid w:val="007D77E2"/>
    <w:rsid w:val="00815407"/>
    <w:rsid w:val="00832790"/>
    <w:rsid w:val="00870530"/>
    <w:rsid w:val="0087427D"/>
    <w:rsid w:val="00890E7F"/>
    <w:rsid w:val="008938D2"/>
    <w:rsid w:val="008D48F0"/>
    <w:rsid w:val="008E0D1C"/>
    <w:rsid w:val="008E5064"/>
    <w:rsid w:val="008E5E18"/>
    <w:rsid w:val="008F75BF"/>
    <w:rsid w:val="008F7E99"/>
    <w:rsid w:val="009063A1"/>
    <w:rsid w:val="009446A1"/>
    <w:rsid w:val="00951C24"/>
    <w:rsid w:val="00955C6B"/>
    <w:rsid w:val="009709C0"/>
    <w:rsid w:val="00986422"/>
    <w:rsid w:val="00990977"/>
    <w:rsid w:val="009D45E5"/>
    <w:rsid w:val="009D4F62"/>
    <w:rsid w:val="009D73F6"/>
    <w:rsid w:val="009E477F"/>
    <w:rsid w:val="00A022B5"/>
    <w:rsid w:val="00A1776B"/>
    <w:rsid w:val="00A30F85"/>
    <w:rsid w:val="00A42E20"/>
    <w:rsid w:val="00A63925"/>
    <w:rsid w:val="00A64E60"/>
    <w:rsid w:val="00A65B6F"/>
    <w:rsid w:val="00A734B8"/>
    <w:rsid w:val="00A8608C"/>
    <w:rsid w:val="00A8768E"/>
    <w:rsid w:val="00AA0354"/>
    <w:rsid w:val="00AB50F0"/>
    <w:rsid w:val="00AB5CF7"/>
    <w:rsid w:val="00AF52D5"/>
    <w:rsid w:val="00B1175D"/>
    <w:rsid w:val="00B178A4"/>
    <w:rsid w:val="00B348CE"/>
    <w:rsid w:val="00B45FB7"/>
    <w:rsid w:val="00B707AE"/>
    <w:rsid w:val="00B75D9F"/>
    <w:rsid w:val="00B919D8"/>
    <w:rsid w:val="00B91D84"/>
    <w:rsid w:val="00BA21C4"/>
    <w:rsid w:val="00C233D1"/>
    <w:rsid w:val="00C3598A"/>
    <w:rsid w:val="00C43BE1"/>
    <w:rsid w:val="00C47AFA"/>
    <w:rsid w:val="00C57696"/>
    <w:rsid w:val="00C83683"/>
    <w:rsid w:val="00C95D3D"/>
    <w:rsid w:val="00CE73B5"/>
    <w:rsid w:val="00CF1298"/>
    <w:rsid w:val="00CF4A74"/>
    <w:rsid w:val="00D1118F"/>
    <w:rsid w:val="00D424E9"/>
    <w:rsid w:val="00D54D18"/>
    <w:rsid w:val="00D71CD7"/>
    <w:rsid w:val="00D86F1D"/>
    <w:rsid w:val="00DA6703"/>
    <w:rsid w:val="00DB3013"/>
    <w:rsid w:val="00DB5C49"/>
    <w:rsid w:val="00DC3B02"/>
    <w:rsid w:val="00DC42A7"/>
    <w:rsid w:val="00DD714A"/>
    <w:rsid w:val="00DE6D7A"/>
    <w:rsid w:val="00DF58A4"/>
    <w:rsid w:val="00E04026"/>
    <w:rsid w:val="00E46336"/>
    <w:rsid w:val="00E57D1A"/>
    <w:rsid w:val="00E62EC7"/>
    <w:rsid w:val="00E714DC"/>
    <w:rsid w:val="00E839A7"/>
    <w:rsid w:val="00E9317D"/>
    <w:rsid w:val="00EB101F"/>
    <w:rsid w:val="00ED5CBC"/>
    <w:rsid w:val="00EE1DBC"/>
    <w:rsid w:val="00EF1696"/>
    <w:rsid w:val="00F05357"/>
    <w:rsid w:val="00F1667C"/>
    <w:rsid w:val="00F33C72"/>
    <w:rsid w:val="00F55871"/>
    <w:rsid w:val="00F842BF"/>
    <w:rsid w:val="00F84F4A"/>
    <w:rsid w:val="00FA29B7"/>
    <w:rsid w:val="00FA2C01"/>
    <w:rsid w:val="00FA60BE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1D90"/>
  <w15:docId w15:val="{45B53AC0-BD9E-4439-BBF9-DE852BC3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ви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інцевої ви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uk-UA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у виносці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f2">
    <w:name w:val="Верхній колонтитул Знак"/>
    <w:basedOn w:val="a0"/>
    <w:link w:val="aff1"/>
    <w:uiPriority w:val="99"/>
    <w:rPr>
      <w:rFonts w:ascii="Times New Roman" w:eastAsia="Times New Roman" w:hAnsi="Times New Roman" w:cs="Times New Roman"/>
      <w:lang w:val="ru-RU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f4">
    <w:name w:val="Нижній колонтитул Знак"/>
    <w:basedOn w:val="a0"/>
    <w:link w:val="aff3"/>
    <w:uiPriority w:val="99"/>
    <w:rPr>
      <w:rFonts w:ascii="Times New Roman" w:eastAsia="Times New Roman" w:hAnsi="Times New Roman" w:cs="Times New Roman"/>
      <w:lang w:val="ru-RU"/>
    </w:rPr>
  </w:style>
  <w:style w:type="character" w:styleId="aff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 списку1"/>
    <w:basedOn w:val="a"/>
    <w:pPr>
      <w:spacing w:after="0" w:line="240" w:lineRule="auto"/>
      <w:ind w:left="720"/>
      <w:contextualSpacing/>
    </w:pPr>
    <w:rPr>
      <w:rFonts w:ascii="Calibri" w:eastAsia="Calibri" w:hAnsi="Calibri"/>
      <w:sz w:val="20"/>
      <w:lang w:bidi="en-US"/>
    </w:rPr>
  </w:style>
  <w:style w:type="character" w:customStyle="1" w:styleId="rvts9">
    <w:name w:val="rvts9"/>
    <w:basedOn w:val="a0"/>
  </w:style>
  <w:style w:type="paragraph" w:styleId="aff6">
    <w:name w:val="Normal (Web)"/>
    <w:basedOn w:val="a"/>
    <w:unhideWhenUsed/>
    <w:rsid w:val="00AF5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8341</Words>
  <Characters>4755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174</cp:revision>
  <cp:lastPrinted>2026-01-26T07:30:00Z</cp:lastPrinted>
  <dcterms:created xsi:type="dcterms:W3CDTF">2021-12-07T08:22:00Z</dcterms:created>
  <dcterms:modified xsi:type="dcterms:W3CDTF">2026-01-29T07:02:00Z</dcterms:modified>
</cp:coreProperties>
</file>