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Додаток </w:t>
      </w:r>
      <w:r>
        <w:rPr>
          <w:bCs/>
          <w:sz w:val="28"/>
          <w:szCs w:val="28"/>
        </w:rPr>
      </w:r>
    </w:p>
    <w:p>
      <w:pPr>
        <w:widowControl w:val="false"/>
        <w:pBdr/>
        <w:spacing/>
        <w:ind w:left="567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 рішення 69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сесії Менської міської ради 8 скликання </w:t>
      </w:r>
      <w:r>
        <w:rPr>
          <w:sz w:val="28"/>
          <w:szCs w:val="28"/>
        </w:rPr>
      </w:r>
    </w:p>
    <w:p>
      <w:pPr>
        <w:widowControl w:val="false"/>
        <w:pBdr/>
        <w:spacing/>
        <w:ind w:left="567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28 </w:t>
      </w:r>
      <w:r>
        <w:rPr>
          <w:bCs/>
          <w:sz w:val="28"/>
          <w:szCs w:val="28"/>
        </w:rPr>
        <w:t xml:space="preserve">січня 2026 року №</w:t>
      </w:r>
      <w:r>
        <w:rPr>
          <w:bCs/>
          <w:sz w:val="28"/>
          <w:szCs w:val="28"/>
        </w:rPr>
        <w:t xml:space="preserve"> 32</w:t>
      </w:r>
      <w:bookmarkStart w:id="0" w:name="_GoBack"/>
      <w:r/>
      <w:bookmarkEnd w:id="0"/>
      <w:r>
        <w:rPr>
          <w:bCs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widowControl w:val="false"/>
        <w:pBdr/>
        <w:spacing w:line="360" w:lineRule="auto"/>
        <w:ind w:left="566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Звіт про виконання Програми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організації харчування дітей в закладах загальної середньої освіти Менської міської ради на 2025-2027 роки за 2025 рік</w:t>
      </w:r>
      <w:r>
        <w:rPr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створення умов для збереження здоров’я дітей, підвищення рівня організації харчування, забезпечення учнів закладів загальної середньої освіти якісним харчуванням, впровадження нових технологій приготування їжі, протягом звітного періоду здійснювало</w:t>
      </w:r>
      <w:r>
        <w:rPr>
          <w:sz w:val="28"/>
          <w:szCs w:val="28"/>
        </w:rPr>
        <w:t xml:space="preserve">ся виконання основних завдань, визначених Програмою організації харчування дітей в закладах загальної середньої освіти Менської міської ради на 2025-2027 роки, затвердженої рішенням 56 сесії Менської міської ради 8 скликання від 19 грудня 2024 року №707.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ішенням п’ятдесят восьмої сесії Менської міської ради 8 скликання від 20 лютого 2025 року № 78  «Про внесення змін до Програми організації харчування дітей в закладах загальної середньої освіти Менської міської ради на 2025-2027 роки» внесені зміни до дано</w:t>
      </w:r>
      <w:r>
        <w:rPr>
          <w:sz w:val="28"/>
          <w:szCs w:val="28"/>
        </w:rPr>
        <w:t xml:space="preserve">ї Програми.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даній Програмі та в рішенні п’ятдесят шостої сесії Менської міської ради 8 скликання від 19 грудня 2024 року № 706 «Про порядок організації харчування учнів у закладах загальної середньої освіти Менської міської ради на 2025 рік» визначені ка</w:t>
      </w:r>
      <w:r>
        <w:rPr>
          <w:sz w:val="28"/>
          <w:szCs w:val="28"/>
        </w:rPr>
        <w:t xml:space="preserve">тегорії учнів закладів загальної середньої освіти, які забезпечуються безоплатним гарячим харчуванням за рахунок коштів місцевого бюджету, відповідно до встановленого в закладі освіти режиму (кратності) харчування, а також встановлено вартість харчування о</w:t>
      </w:r>
      <w:r>
        <w:rPr>
          <w:sz w:val="28"/>
          <w:szCs w:val="28"/>
        </w:rPr>
        <w:t xml:space="preserve">дного учня в день в сумі 45 грн для учнів пільгових категорій 1-11 класів у 2025 році. 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рахунок коштів Менської міської територіальної громади  було передбачено фінансування харчування осіб пільгових категорій, а саме:</w:t>
      </w:r>
      <w:r>
        <w:rPr>
          <w:sz w:val="28"/>
          <w:szCs w:val="28"/>
        </w:rPr>
      </w:r>
    </w:p>
    <w:p>
      <w:pPr>
        <w:pStyle w:val="920"/>
        <w:numPr>
          <w:ilvl w:val="0"/>
          <w:numId w:val="1"/>
        </w:num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дітей-сиріт;</w:t>
      </w:r>
      <w:r>
        <w:rPr>
          <w:sz w:val="28"/>
          <w:szCs w:val="28"/>
        </w:rPr>
      </w:r>
    </w:p>
    <w:p>
      <w:pPr>
        <w:pStyle w:val="920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дітей, позбавлених ба</w:t>
      </w:r>
      <w:r>
        <w:rPr>
          <w:sz w:val="28"/>
          <w:szCs w:val="28"/>
        </w:rPr>
        <w:t xml:space="preserve">тьківського піклування; дітей з особливими освітніми потребами, які навчаються у спеціальних та інклюзивних класах (групах);</w:t>
      </w:r>
      <w:r>
        <w:rPr>
          <w:sz w:val="28"/>
          <w:szCs w:val="28"/>
        </w:rPr>
      </w:r>
    </w:p>
    <w:p>
      <w:pPr>
        <w:pStyle w:val="920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із сімей, які отримують допомогу відповідно до Закону України «Про державну соціальну допомогу малозабезпеченим сім</w:t>
      </w:r>
      <w:r>
        <w:rPr>
          <w:sz w:val="28"/>
          <w:szCs w:val="28"/>
          <w:lang w:val="ru-RU"/>
        </w:rPr>
        <w:t xml:space="preserve">’</w:t>
      </w:r>
      <w:r>
        <w:rPr>
          <w:sz w:val="28"/>
          <w:szCs w:val="28"/>
        </w:rPr>
        <w:t xml:space="preserve">ям»;</w:t>
      </w:r>
      <w:r>
        <w:rPr>
          <w:sz w:val="28"/>
          <w:szCs w:val="28"/>
        </w:rPr>
      </w:r>
    </w:p>
    <w:p>
      <w:pPr>
        <w:pStyle w:val="920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учні</w:t>
      </w:r>
      <w:r>
        <w:rPr>
          <w:sz w:val="28"/>
          <w:szCs w:val="28"/>
        </w:rPr>
        <w:t xml:space="preserve">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</w:t>
      </w:r>
      <w:r>
        <w:rPr>
          <w:sz w:val="28"/>
          <w:szCs w:val="28"/>
        </w:rPr>
        <w:t xml:space="preserve">ення з моменту аварії до прийняття постанови про відселення, відповідно до Закону України «Про статус і соціальний захист громадян, які постраждали внаслідок Чорнобильської катастрофи»;</w:t>
      </w:r>
      <w:r>
        <w:rPr>
          <w:sz w:val="28"/>
          <w:szCs w:val="28"/>
        </w:rPr>
      </w:r>
    </w:p>
    <w:p>
      <w:pPr>
        <w:pStyle w:val="920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числа внутрішньо переміщених осіб, діти, які мають статус дити</w:t>
      </w:r>
      <w:r>
        <w:rPr>
          <w:sz w:val="28"/>
          <w:szCs w:val="28"/>
        </w:rPr>
        <w:t xml:space="preserve">ни, яка постраждала внаслідок воєнних дій і збройних конфліктів;</w:t>
      </w:r>
      <w:r>
        <w:rPr>
          <w:sz w:val="28"/>
          <w:szCs w:val="28"/>
        </w:rPr>
      </w:r>
    </w:p>
    <w:p>
      <w:pPr>
        <w:pStyle w:val="920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числа осіб, загиблих (померлих) ветеранів війни (зниклих безвісти)- (стаття 10) та загиблих (померлих) Захисників і Захисниць України (стаття 10-1) відповідно до Закону України «Про с</w:t>
      </w:r>
      <w:r>
        <w:rPr>
          <w:sz w:val="28"/>
          <w:szCs w:val="28"/>
        </w:rPr>
        <w:t xml:space="preserve">татус ветеранів війни, гарантії їх соціального захисту»;</w:t>
      </w:r>
      <w:r>
        <w:rPr>
          <w:sz w:val="28"/>
          <w:szCs w:val="28"/>
        </w:rPr>
      </w:r>
    </w:p>
    <w:p>
      <w:pPr>
        <w:pStyle w:val="920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осіб, які мають статус «учасник бойових дій»;</w:t>
      </w:r>
      <w:r>
        <w:rPr>
          <w:sz w:val="28"/>
          <w:szCs w:val="28"/>
        </w:rPr>
      </w:r>
    </w:p>
    <w:p>
      <w:pPr>
        <w:pStyle w:val="920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військовослужбовців Збройних Сил України, інших військових формувань; співробітників Національної поліції, залучених до виконання завдань в з</w:t>
      </w:r>
      <w:r>
        <w:rPr>
          <w:sz w:val="28"/>
          <w:szCs w:val="28"/>
        </w:rPr>
        <w:t xml:space="preserve">оні бойових дій (на період дії воєнного стану в Україні);</w:t>
      </w:r>
      <w:r>
        <w:rPr>
          <w:sz w:val="28"/>
          <w:szCs w:val="28"/>
        </w:rPr>
      </w:r>
    </w:p>
    <w:p>
      <w:pPr>
        <w:pStyle w:val="920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осіб, які належать до осіб з інвалідністю внаслідок війни;</w:t>
      </w:r>
      <w:r>
        <w:rPr>
          <w:sz w:val="28"/>
          <w:szCs w:val="28"/>
        </w:rPr>
      </w:r>
    </w:p>
    <w:p>
      <w:pPr>
        <w:pStyle w:val="920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дітей з інвалідністю;</w:t>
      </w:r>
      <w:r>
        <w:rPr>
          <w:sz w:val="28"/>
          <w:szCs w:val="28"/>
        </w:rPr>
      </w:r>
    </w:p>
    <w:p>
      <w:pPr>
        <w:pStyle w:val="920"/>
        <w:numPr>
          <w:ilvl w:val="0"/>
          <w:numId w:val="1"/>
        </w:numPr>
        <w:pBdr/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виняткових випадках (в разі, якщо сім’я опинилась в складних життєвих обставинах або батьки неспроможні з пов</w:t>
      </w:r>
      <w:r>
        <w:rPr>
          <w:sz w:val="28"/>
          <w:szCs w:val="28"/>
        </w:rPr>
        <w:t xml:space="preserve">ажних причин сплачувати за харчування дітей та інших випадках) за погодженням виконавчого комітету Менської міської ради (при наявності підтверджуючих документів, заяви одного з батьків та за пропозицією відділу освіти Менської міської ради)).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Гарячим харчуванням з оплатою в розмірі 50% від вартості харчування, забезпечувалися діти з сімей, в яких троє і більше дітей до 18 років.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рішення п’ятдесят сьомої сесії Менської міської ради 8 скликання від 24 січня 2025 року № 34 « Про внесення зм</w:t>
      </w:r>
      <w:r>
        <w:rPr>
          <w:sz w:val="28"/>
          <w:szCs w:val="28"/>
        </w:rPr>
        <w:t xml:space="preserve">ін до рішення 56 сесії Менської міської ради 8 скликання від 19 грудня 2024 року № 706» було встановлено вартість харчування одного учня 1-4 класів в закладах загальної середньої освіти Менської міської ради, в сумі 45,00 грн. в день за рахунок субвенції з</w:t>
      </w:r>
      <w:r>
        <w:rPr>
          <w:sz w:val="28"/>
          <w:szCs w:val="28"/>
        </w:rPr>
        <w:t xml:space="preserve"> державного бюджету місцевим бюджетам на забезпечення харчування учнів початкових класів закладів загальної середньої освіти, згідно постанови Кабінету Міністрів України від 20.12.2024 № 1456.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підписаного договору між Міністерством освіти і науки </w:t>
      </w:r>
      <w:r>
        <w:rPr>
          <w:sz w:val="28"/>
          <w:szCs w:val="28"/>
        </w:rPr>
        <w:t xml:space="preserve">України  та Всесвітньою Продовольчою Програмою Організації Об</w:t>
      </w:r>
      <w:r>
        <w:rPr>
          <w:sz w:val="28"/>
          <w:szCs w:val="28"/>
          <w:lang w:val="ru-RU"/>
        </w:rPr>
        <w:t xml:space="preserve">’</w:t>
      </w:r>
      <w:r>
        <w:rPr>
          <w:sz w:val="28"/>
          <w:szCs w:val="28"/>
        </w:rPr>
        <w:t xml:space="preserve">єднаних</w:t>
      </w:r>
      <w:r>
        <w:rPr>
          <w:sz w:val="28"/>
          <w:szCs w:val="28"/>
        </w:rPr>
        <w:t xml:space="preserve"> Націй  про партнерство, у Менській громаді йде реалізація Програми шкільного харчування у 2024/2025 навчальному році в 9 закладах загальної середньої освіти і 3 філіях. У межах підтримки</w:t>
      </w:r>
      <w:r>
        <w:rPr>
          <w:sz w:val="28"/>
          <w:szCs w:val="28"/>
        </w:rPr>
        <w:t xml:space="preserve"> програми ВПП перераховує 30% вартості харчування для покращення якості гарячого харчування учнів початкових класів закладів загальної середньої освіти.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рішення шістдесят четвертої сесії Менської міської ради 8 скликання від 27 серпня 2025 ро</w:t>
      </w:r>
      <w:r>
        <w:rPr>
          <w:sz w:val="28"/>
          <w:szCs w:val="28"/>
        </w:rPr>
        <w:t xml:space="preserve">ку № 469 «Про порядок організації харчування учнів у закладах загальної середньої освіти Менської міської ради з 01 вересня 2025 року» було встановлено вартість одноразового безоплатного харчування на одного учня, що здобуває початкову освіту в закладах за</w:t>
      </w:r>
      <w:r>
        <w:rPr>
          <w:sz w:val="28"/>
          <w:szCs w:val="28"/>
        </w:rPr>
        <w:t xml:space="preserve">гальної середньої освіти Менської міської ради (учні 1-4 класів) в сумі 50 грн., що фінансується за рахунок освітньої субвенції з державного бюджету місцевим бюджетам (за спеціальним фондом </w:t>
      </w:r>
      <w:r>
        <w:rPr>
          <w:sz w:val="28"/>
          <w:szCs w:val="28"/>
        </w:rPr>
        <w:t xml:space="preserve">державного бюджету, згідно постанови Кабінету Міністрів України ві</w:t>
      </w:r>
      <w:r>
        <w:rPr>
          <w:sz w:val="28"/>
          <w:szCs w:val="28"/>
        </w:rPr>
        <w:t xml:space="preserve">д 20.12.2024 №1456 (зі змінами) та субвенції 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рахунок коштів, отриманих від Всесвітньої продов</w:t>
      </w:r>
      <w:r>
        <w:rPr>
          <w:sz w:val="28"/>
          <w:szCs w:val="28"/>
        </w:rPr>
        <w:t xml:space="preserve">ольчої програми ООН, згідно постанови Кабінету Міністрів України від 20.12.2024 №1451 (зі змінами). 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було встановлено вартість одноразового безоплатного гарячого харчування на одного учня, що здобуває базову та профільну середню освіту в заклада</w:t>
      </w:r>
      <w:r>
        <w:rPr>
          <w:sz w:val="28"/>
          <w:szCs w:val="28"/>
        </w:rPr>
        <w:t xml:space="preserve">х загальної середньої освіти Менської міської ради (учні 5-11 (12) класів) в сумі 60 грн, що фінансується за рахунок освітньої субвенції з державного бюджету місцевим бюджетам (за спеціальним фондом державного бюджету, згідно постанови Кабінету Міністрів У</w:t>
      </w:r>
      <w:r>
        <w:rPr>
          <w:sz w:val="28"/>
          <w:szCs w:val="28"/>
        </w:rPr>
        <w:t xml:space="preserve">країни від 20.12.2024 №1456 (зі змінами).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Станом на 01 жовтня 2025 року в 9 закладах загальної середньої освіти та 3 філіях виховується 2125 дітей, з яких охоплено  одноразовим безоплатним гарячим харчуванням 626 учнів 1-4 класів та 1499 учнів 5-11 класів.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Програмою організації харчування дітей в закладах загальної середньої освіти Менської міської ради на 2025-2027 роки на 2025 рік передбачалося загальний обсяг фінансових ресурсів, необхідних для реалізації Програми </w:t>
      </w:r>
      <w:r>
        <w:rPr>
          <w:b/>
          <w:bCs/>
          <w:sz w:val="28"/>
          <w:szCs w:val="28"/>
        </w:rPr>
        <w:t xml:space="preserve">14 672 725,00 грн.</w:t>
      </w:r>
      <w:r>
        <w:rPr>
          <w:sz w:val="28"/>
          <w:szCs w:val="28"/>
        </w:rPr>
        <w:t xml:space="preserve"> За 2025 рік сума вида</w:t>
      </w:r>
      <w:r>
        <w:rPr>
          <w:sz w:val="28"/>
          <w:szCs w:val="28"/>
        </w:rPr>
        <w:t xml:space="preserve">тків становить </w:t>
      </w:r>
      <w:r>
        <w:rPr>
          <w:b/>
          <w:bCs/>
          <w:sz w:val="28"/>
          <w:szCs w:val="28"/>
        </w:rPr>
        <w:t xml:space="preserve">6 162 008,42 грн.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харчування учнів 1-11 класів,</w:t>
      </w:r>
      <w:r>
        <w:rPr>
          <w:sz w:val="28"/>
          <w:szCs w:val="28"/>
        </w:rPr>
        <w:t xml:space="preserve"> з них </w:t>
      </w:r>
      <w:r>
        <w:rPr>
          <w:b/>
          <w:bCs/>
          <w:sz w:val="28"/>
          <w:szCs w:val="28"/>
        </w:rPr>
        <w:t xml:space="preserve">2 383 598,73 грн</w:t>
      </w:r>
      <w:r>
        <w:rPr>
          <w:sz w:val="28"/>
          <w:szCs w:val="28"/>
        </w:rPr>
        <w:t xml:space="preserve">. – кошти місцевого бюджету, </w:t>
      </w:r>
      <w:r>
        <w:rPr>
          <w:b/>
          <w:bCs/>
          <w:sz w:val="28"/>
          <w:szCs w:val="28"/>
        </w:rPr>
        <w:t xml:space="preserve">925 310,93 грн</w:t>
      </w:r>
      <w:r>
        <w:rPr>
          <w:sz w:val="28"/>
          <w:szCs w:val="28"/>
        </w:rPr>
        <w:t xml:space="preserve">. –  реалізація заходів за рахунок освітньої субвенції з державного бюджету</w:t>
      </w:r>
      <w:r>
        <w:rPr>
          <w:sz w:val="28"/>
          <w:szCs w:val="28"/>
        </w:rPr>
        <w:t xml:space="preserve"> місцевим бюджетам (за спеціальним фондом державного бюджету) на забезпечення харчуванням учнів закладів загальної середньої освіти, </w:t>
      </w:r>
      <w:r>
        <w:rPr>
          <w:b/>
          <w:bCs/>
          <w:sz w:val="28"/>
          <w:szCs w:val="28"/>
        </w:rPr>
        <w:t xml:space="preserve">1 801 455,27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грн.</w:t>
      </w:r>
      <w:r>
        <w:rPr>
          <w:sz w:val="28"/>
          <w:szCs w:val="28"/>
        </w:rPr>
        <w:t xml:space="preserve"> – забезпечення харчуванням учнів початкових класів закладів загальної середньої освіти за рахунок субвенц</w:t>
      </w:r>
      <w:r>
        <w:rPr>
          <w:sz w:val="28"/>
          <w:szCs w:val="28"/>
        </w:rPr>
        <w:t xml:space="preserve">ії з державного бюджету місцевим бюджетам</w:t>
      </w:r>
      <w:r>
        <w:rPr>
          <w:b/>
          <w:bCs/>
          <w:sz w:val="28"/>
          <w:szCs w:val="28"/>
        </w:rPr>
        <w:t xml:space="preserve">, 302 401, 46 грн. – </w:t>
      </w:r>
      <w:r>
        <w:rPr>
          <w:bCs/>
          <w:sz w:val="28"/>
          <w:szCs w:val="28"/>
        </w:rPr>
        <w:t xml:space="preserve">забезпечення </w:t>
      </w:r>
      <w:r>
        <w:rPr>
          <w:sz w:val="28"/>
          <w:szCs w:val="28"/>
        </w:rPr>
        <w:t xml:space="preserve">харчуванням учнів закладів загальної середньої освіти за рахунок субвенції з державного бюджету місцевим бюджетам,</w:t>
      </w:r>
      <w:r>
        <w:rPr>
          <w:b/>
          <w:bCs/>
          <w:sz w:val="28"/>
          <w:szCs w:val="28"/>
        </w:rPr>
        <w:t xml:space="preserve"> 749 242,03 грн</w:t>
      </w:r>
      <w:r>
        <w:rPr>
          <w:sz w:val="28"/>
          <w:szCs w:val="28"/>
        </w:rPr>
        <w:t xml:space="preserve">. – виконання заходів за рахунок субвенції з державн</w:t>
      </w:r>
      <w:r>
        <w:rPr>
          <w:sz w:val="28"/>
          <w:szCs w:val="28"/>
        </w:rPr>
        <w:t xml:space="preserve">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00"/>
          <w:tab w:val="left" w:leader="none" w:pos="7087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освіти</w:t>
      </w:r>
      <w:r>
        <w:rPr>
          <w:sz w:val="28"/>
          <w:szCs w:val="28"/>
        </w:rPr>
        <w:tab/>
        <w:t xml:space="preserve">Ірина ЛУК</w:t>
      </w:r>
      <w:r>
        <w:rPr>
          <w:sz w:val="28"/>
          <w:szCs w:val="28"/>
          <w:lang w:val="ru-RU"/>
        </w:rPr>
        <w:t xml:space="preserve">`</w:t>
      </w:r>
      <w:r>
        <w:rPr>
          <w:sz w:val="28"/>
          <w:szCs w:val="28"/>
        </w:rPr>
        <w:t xml:space="preserve">ЯНЕНКО</w:t>
      </w:r>
      <w:r>
        <w:rPr>
          <w:sz w:val="28"/>
          <w:szCs w:val="28"/>
        </w:rPr>
      </w:r>
    </w:p>
    <w:p>
      <w:pPr>
        <w:pBdr/>
        <w:tabs>
          <w:tab w:val="left" w:leader="none" w:pos="900"/>
          <w:tab w:val="left" w:leader="none" w:pos="6803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Менської міської ради</w:t>
      </w:r>
      <w:r>
        <w:rPr>
          <w:sz w:val="28"/>
          <w:szCs w:val="28"/>
        </w:rPr>
      </w:r>
      <w:r/>
      <w:r/>
      <w:r>
        <w:rPr>
          <w:sz w:val="28"/>
          <w:szCs w:val="28"/>
        </w:rPr>
      </w:r>
      <w:r/>
      <w:r/>
      <w:r>
        <w:rPr>
          <w:sz w:val="28"/>
          <w:szCs w:val="28"/>
        </w:rPr>
      </w:r>
      <w:r/>
      <w:r/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5840" w:orient="portrait" w:w="12240"/>
      <w:pgMar w:top="1134" w:right="567" w:bottom="1134" w:left="1701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jc w:val="right"/>
      <w:rPr>
        <w:sz w:val="24"/>
        <w:szCs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4"/>
        <w:szCs w:val="24"/>
      </w:rPr>
      <w:t xml:space="preserve">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                                                  продовження додатка</w:t>
    </w:r>
    <w:r>
      <w:rPr>
        <w:sz w:val="24"/>
        <w:szCs w:val="24"/>
      </w:rPr>
    </w:r>
  </w:p>
  <w:p>
    <w:pPr>
      <w:pStyle w:val="91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46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6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6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6"/>
    <w:link w:val="7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6"/>
    <w:link w:val="7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6"/>
    <w:link w:val="7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6"/>
    <w:link w:val="7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6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6"/>
    <w:link w:val="7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46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46"/>
    <w:link w:val="8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46"/>
    <w:link w:val="88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46"/>
    <w:link w:val="8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46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46"/>
    <w:link w:val="906"/>
    <w:uiPriority w:val="99"/>
    <w:semiHidden/>
    <w:pPr>
      <w:pBdr/>
      <w:spacing/>
      <w:ind/>
    </w:pPr>
    <w:rPr>
      <w:sz w:val="20"/>
      <w:szCs w:val="20"/>
    </w:rPr>
  </w:style>
  <w:style w:type="paragraph" w:styleId="73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737">
    <w:name w:val="Heading 1"/>
    <w:basedOn w:val="736"/>
    <w:next w:val="736"/>
    <w:link w:val="87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38">
    <w:name w:val="Heading 2"/>
    <w:basedOn w:val="736"/>
    <w:next w:val="736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39">
    <w:name w:val="Heading 3"/>
    <w:basedOn w:val="736"/>
    <w:next w:val="736"/>
    <w:link w:val="8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40">
    <w:name w:val="Heading 4"/>
    <w:basedOn w:val="736"/>
    <w:next w:val="736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41">
    <w:name w:val="Heading 5"/>
    <w:basedOn w:val="736"/>
    <w:next w:val="736"/>
    <w:link w:val="87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42">
    <w:name w:val="Heading 6"/>
    <w:basedOn w:val="736"/>
    <w:next w:val="736"/>
    <w:link w:val="88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43">
    <w:name w:val="Heading 7"/>
    <w:basedOn w:val="736"/>
    <w:next w:val="736"/>
    <w:link w:val="88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44">
    <w:name w:val="Heading 8"/>
    <w:basedOn w:val="736"/>
    <w:next w:val="736"/>
    <w:link w:val="88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45">
    <w:name w:val="Heading 9"/>
    <w:basedOn w:val="736"/>
    <w:next w:val="736"/>
    <w:link w:val="88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46" w:default="1">
    <w:name w:val="Default Paragraph Font"/>
    <w:uiPriority w:val="1"/>
    <w:semiHidden/>
    <w:unhideWhenUsed/>
    <w:pPr>
      <w:pBdr/>
      <w:spacing/>
      <w:ind/>
    </w:pPr>
  </w:style>
  <w:style w:type="table" w:styleId="74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8" w:default="1">
    <w:name w:val="No List"/>
    <w:uiPriority w:val="99"/>
    <w:semiHidden/>
    <w:unhideWhenUsed/>
    <w:pPr>
      <w:pBdr/>
      <w:spacing/>
      <w:ind/>
    </w:pPr>
  </w:style>
  <w:style w:type="table" w:styleId="749">
    <w:name w:val="Table Grid"/>
    <w:basedOn w:val="74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Table Grid Light"/>
    <w:basedOn w:val="74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74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74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1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2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3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4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5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6"/>
    <w:basedOn w:val="74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1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2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3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4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5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6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1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2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3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4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5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6"/>
    <w:basedOn w:val="74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1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2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3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4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5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6"/>
    <w:basedOn w:val="7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5" w:customStyle="1">
    <w:name w:val="Заголовок 1 Знак"/>
    <w:basedOn w:val="746"/>
    <w:link w:val="73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76" w:customStyle="1">
    <w:name w:val="Заголовок 2 Знак"/>
    <w:basedOn w:val="746"/>
    <w:link w:val="73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77" w:customStyle="1">
    <w:name w:val="Заголовок 3 Знак"/>
    <w:basedOn w:val="746"/>
    <w:link w:val="73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78" w:customStyle="1">
    <w:name w:val="Заголовок 4 Знак"/>
    <w:basedOn w:val="746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79" w:customStyle="1">
    <w:name w:val="Заголовок 5 Знак"/>
    <w:basedOn w:val="746"/>
    <w:link w:val="74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80" w:customStyle="1">
    <w:name w:val="Заголовок 6 Знак"/>
    <w:basedOn w:val="746"/>
    <w:link w:val="7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1" w:customStyle="1">
    <w:name w:val="Заголовок 7 Знак"/>
    <w:basedOn w:val="746"/>
    <w:link w:val="7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2" w:customStyle="1">
    <w:name w:val="Заголовок 8 Знак"/>
    <w:basedOn w:val="746"/>
    <w:link w:val="7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3" w:customStyle="1">
    <w:name w:val="Заголовок 9 Знак"/>
    <w:basedOn w:val="746"/>
    <w:link w:val="7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4">
    <w:name w:val="Title"/>
    <w:basedOn w:val="736"/>
    <w:next w:val="736"/>
    <w:link w:val="88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5" w:customStyle="1">
    <w:name w:val="Назва Знак"/>
    <w:basedOn w:val="746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6">
    <w:name w:val="Subtitle"/>
    <w:basedOn w:val="736"/>
    <w:next w:val="736"/>
    <w:link w:val="88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7" w:customStyle="1">
    <w:name w:val="Підзаголовок Знак"/>
    <w:basedOn w:val="746"/>
    <w:link w:val="88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8">
    <w:name w:val="Quote"/>
    <w:basedOn w:val="736"/>
    <w:next w:val="736"/>
    <w:link w:val="88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9" w:customStyle="1">
    <w:name w:val="Цитата Знак"/>
    <w:basedOn w:val="746"/>
    <w:link w:val="88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Intense Emphasis"/>
    <w:basedOn w:val="74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91">
    <w:name w:val="Intense Quote"/>
    <w:basedOn w:val="736"/>
    <w:next w:val="736"/>
    <w:link w:val="892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92" w:customStyle="1">
    <w:name w:val="Насичена цитата Знак"/>
    <w:basedOn w:val="746"/>
    <w:link w:val="89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93">
    <w:name w:val="Intense Reference"/>
    <w:basedOn w:val="74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894">
    <w:name w:val="No Spacing"/>
    <w:basedOn w:val="736"/>
    <w:uiPriority w:val="1"/>
    <w:qFormat/>
    <w:pPr>
      <w:pBdr/>
      <w:spacing/>
      <w:ind/>
    </w:pPr>
  </w:style>
  <w:style w:type="character" w:styleId="895">
    <w:name w:val="Subtle Emphasis"/>
    <w:basedOn w:val="7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6">
    <w:name w:val="Emphasis"/>
    <w:basedOn w:val="746"/>
    <w:uiPriority w:val="20"/>
    <w:qFormat/>
    <w:pPr>
      <w:pBdr/>
      <w:spacing/>
      <w:ind/>
    </w:pPr>
    <w:rPr>
      <w:i/>
      <w:iCs/>
    </w:rPr>
  </w:style>
  <w:style w:type="character" w:styleId="897">
    <w:name w:val="Strong"/>
    <w:basedOn w:val="746"/>
    <w:uiPriority w:val="22"/>
    <w:qFormat/>
    <w:pPr>
      <w:pBdr/>
      <w:spacing/>
      <w:ind/>
    </w:pPr>
    <w:rPr>
      <w:b/>
      <w:bCs/>
    </w:rPr>
  </w:style>
  <w:style w:type="character" w:styleId="898">
    <w:name w:val="Subtle Reference"/>
    <w:basedOn w:val="7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9">
    <w:name w:val="Book Title"/>
    <w:basedOn w:val="74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00" w:customStyle="1">
    <w:name w:val="Header Char"/>
    <w:basedOn w:val="746"/>
    <w:uiPriority w:val="99"/>
    <w:pPr>
      <w:pBdr/>
      <w:spacing/>
      <w:ind/>
    </w:pPr>
  </w:style>
  <w:style w:type="character" w:styleId="901" w:customStyle="1">
    <w:name w:val="Footer Char"/>
    <w:basedOn w:val="746"/>
    <w:uiPriority w:val="99"/>
    <w:pPr>
      <w:pBdr/>
      <w:spacing/>
      <w:ind/>
    </w:pPr>
  </w:style>
  <w:style w:type="paragraph" w:styleId="902">
    <w:name w:val="Caption"/>
    <w:basedOn w:val="736"/>
    <w:next w:val="736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903">
    <w:name w:val="footnote text"/>
    <w:basedOn w:val="736"/>
    <w:link w:val="904"/>
    <w:uiPriority w:val="99"/>
    <w:semiHidden/>
    <w:unhideWhenUsed/>
    <w:pPr>
      <w:pBdr/>
      <w:spacing/>
      <w:ind/>
    </w:pPr>
  </w:style>
  <w:style w:type="character" w:styleId="904" w:customStyle="1">
    <w:name w:val="Текст виноски Знак"/>
    <w:basedOn w:val="746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basedOn w:val="746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736"/>
    <w:link w:val="907"/>
    <w:uiPriority w:val="99"/>
    <w:semiHidden/>
    <w:unhideWhenUsed/>
    <w:pPr>
      <w:pBdr/>
      <w:spacing/>
      <w:ind/>
    </w:pPr>
  </w:style>
  <w:style w:type="character" w:styleId="907" w:customStyle="1">
    <w:name w:val="Текст кінцевої виноски Знак"/>
    <w:basedOn w:val="746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basedOn w:val="746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Hyperlink"/>
    <w:basedOn w:val="74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0">
    <w:name w:val="FollowedHyperlink"/>
    <w:basedOn w:val="7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1">
    <w:name w:val="TOC Heading"/>
    <w:uiPriority w:val="39"/>
    <w:unhideWhenUsed/>
    <w:pPr>
      <w:pBdr/>
      <w:spacing/>
      <w:ind/>
    </w:pPr>
  </w:style>
  <w:style w:type="paragraph" w:styleId="912">
    <w:name w:val="table of figures"/>
    <w:basedOn w:val="736"/>
    <w:next w:val="736"/>
    <w:uiPriority w:val="99"/>
    <w:unhideWhenUsed/>
    <w:pPr>
      <w:pBdr/>
      <w:spacing/>
      <w:ind/>
    </w:pPr>
  </w:style>
  <w:style w:type="paragraph" w:styleId="913">
    <w:name w:val="Normal (Web)"/>
    <w:basedOn w:val="736"/>
    <w:semiHidden/>
    <w:unhideWhenUsed/>
    <w:pPr>
      <w:pBdr/>
      <w:spacing w:after="100" w:afterAutospacing="1" w:before="100" w:beforeAutospacing="1"/>
      <w:ind/>
    </w:pPr>
  </w:style>
  <w:style w:type="character" w:styleId="914" w:customStyle="1">
    <w:name w:val="1332"/>
    <w:pPr>
      <w:pBdr/>
      <w:spacing/>
      <w:ind/>
    </w:pPr>
  </w:style>
  <w:style w:type="character" w:styleId="915" w:customStyle="1">
    <w:name w:val="4247"/>
    <w:pPr>
      <w:pBdr/>
      <w:spacing/>
      <w:ind/>
    </w:pPr>
  </w:style>
  <w:style w:type="paragraph" w:styleId="916">
    <w:name w:val="Header"/>
    <w:basedOn w:val="736"/>
    <w:link w:val="917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917" w:customStyle="1">
    <w:name w:val="Верхній колонтитул Знак"/>
    <w:basedOn w:val="746"/>
    <w:link w:val="916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918">
    <w:name w:val="Footer"/>
    <w:basedOn w:val="736"/>
    <w:link w:val="919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919" w:customStyle="1">
    <w:name w:val="Нижній колонтитул Знак"/>
    <w:basedOn w:val="746"/>
    <w:link w:val="918"/>
    <w:uiPriority w:val="99"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uk-UA" w:eastAsia="zh-CN"/>
    </w:rPr>
  </w:style>
  <w:style w:type="paragraph" w:styleId="920">
    <w:name w:val="List Paragraph"/>
    <w:basedOn w:val="736"/>
    <w:uiPriority w:val="34"/>
    <w:qFormat/>
    <w:pPr>
      <w:pBdr/>
      <w:spacing/>
      <w:ind w:left="720"/>
      <w:contextualSpacing w:val="true"/>
    </w:pPr>
  </w:style>
  <w:style w:type="paragraph" w:styleId="921">
    <w:name w:val="Balloon Text"/>
    <w:basedOn w:val="736"/>
    <w:link w:val="922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22" w:customStyle="1">
    <w:name w:val="Текст у виносці Знак"/>
    <w:basedOn w:val="746"/>
    <w:link w:val="921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uk-UA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C2651-F1B6-451E-B213-98E3D4B9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89</cp:revision>
  <dcterms:created xsi:type="dcterms:W3CDTF">2024-05-29T05:38:00Z</dcterms:created>
  <dcterms:modified xsi:type="dcterms:W3CDTF">2026-01-29T17:39:45Z</dcterms:modified>
</cp:coreProperties>
</file>