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0"/>
        <w:widowControl w:val="false"/>
        <w:pBdr/>
        <w:spacing/>
        <w:ind w:right="0" w:firstLine="0" w:left="5669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 xml:space="preserve">до  рішення 69 сесії 8 скликання </w:t>
      </w:r>
      <w:r>
        <w:rPr>
          <w:sz w:val="24"/>
          <w:szCs w:val="24"/>
          <w:lang w:val="uk-UA"/>
        </w:rPr>
        <w:t xml:space="preserve">Менської міської ради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0"/>
        <w:widowControl w:val="false"/>
        <w:pBdr/>
        <w:spacing/>
        <w:ind w:right="0" w:firstLine="0" w:left="5669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28 січня 202</w:t>
      </w:r>
      <w:r>
        <w:rPr>
          <w:sz w:val="24"/>
          <w:szCs w:val="24"/>
          <w:lang w:val="uk-UA"/>
        </w:rPr>
        <w:t xml:space="preserve">6</w:t>
      </w:r>
      <w:r>
        <w:rPr>
          <w:sz w:val="24"/>
          <w:szCs w:val="24"/>
          <w:lang w:val="uk-UA"/>
        </w:rPr>
        <w:t xml:space="preserve"> року № 0</w:t>
      </w:r>
      <w:r>
        <w:rPr>
          <w:sz w:val="24"/>
          <w:szCs w:val="24"/>
          <w:lang w:val="uk-UA"/>
        </w:rPr>
        <w:t xml:space="preserve">3</w:t>
      </w:r>
      <w:r>
        <w:rPr>
          <w:sz w:val="24"/>
          <w:szCs w:val="24"/>
          <w:lang w:val="uk-UA"/>
        </w:rPr>
      </w:r>
      <w:r>
        <w:rPr>
          <w:sz w:val="24"/>
          <w:szCs w:val="24"/>
        </w:rPr>
      </w:r>
    </w:p>
    <w:p>
      <w:pPr>
        <w:pStyle w:val="920"/>
        <w:widowControl w:val="false"/>
        <w:pBdr/>
        <w:spacing/>
        <w:ind w:firstLine="567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</w:r>
      <w:r>
        <w:rPr>
          <w:b/>
          <w:i/>
          <w:sz w:val="28"/>
          <w:szCs w:val="28"/>
          <w:lang w:val="uk-UA"/>
        </w:rPr>
      </w:r>
      <w:r>
        <w:rPr>
          <w:b/>
          <w:i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Звіт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роботу генерального директора Комунального некомерційного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підприємства «Менський центр первинної медико-санітарної допомоги»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Менської міської ради Н.В. Росомахи про роботу за 202</w:t>
      </w:r>
      <w:r>
        <w:rPr>
          <w:b/>
          <w:sz w:val="28"/>
          <w:szCs w:val="28"/>
          <w:lang w:val="uk-UA"/>
        </w:rPr>
        <w:t xml:space="preserve">5</w:t>
      </w:r>
      <w:r>
        <w:rPr>
          <w:b/>
          <w:sz w:val="28"/>
          <w:szCs w:val="28"/>
          <w:lang w:val="uk-UA"/>
        </w:rPr>
        <w:t xml:space="preserve"> рік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center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Комунальне некомерційне підприємство обслуговує населення  Менської міської територіальної громади та Березнянської селищної територіальної громади. Станом на 01 січня 202</w:t>
      </w:r>
      <w:r>
        <w:rPr>
          <w:rFonts w:eastAsia="Calibri"/>
          <w:sz w:val="28"/>
          <w:szCs w:val="28"/>
          <w:lang w:val="uk-UA" w:eastAsia="en-US"/>
        </w:rPr>
        <w:t xml:space="preserve">6</w:t>
      </w:r>
      <w:r>
        <w:rPr>
          <w:rFonts w:eastAsia="Calibri"/>
          <w:sz w:val="28"/>
          <w:szCs w:val="28"/>
          <w:lang w:val="uk-UA" w:eastAsia="en-US"/>
        </w:rPr>
        <w:t xml:space="preserve"> року кількість задекларованого населення – </w:t>
      </w:r>
      <w:bookmarkStart w:id="0" w:name="_Hlk218846281"/>
      <w:r>
        <w:rPr>
          <w:rFonts w:eastAsia="Calibri"/>
          <w:sz w:val="28"/>
          <w:szCs w:val="28"/>
          <w:lang w:val="uk-UA" w:eastAsia="en-US"/>
        </w:rPr>
        <w:t xml:space="preserve">26665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bookmarkEnd w:id="0"/>
      <w:r>
        <w:rPr>
          <w:rFonts w:eastAsia="Calibri"/>
          <w:sz w:val="28"/>
          <w:szCs w:val="28"/>
          <w:lang w:val="uk-UA" w:eastAsia="en-US"/>
        </w:rPr>
        <w:t xml:space="preserve">ос</w:t>
      </w:r>
      <w:r>
        <w:rPr>
          <w:rFonts w:eastAsia="Calibri"/>
          <w:sz w:val="28"/>
          <w:szCs w:val="28"/>
          <w:lang w:val="uk-UA" w:eastAsia="en-US"/>
        </w:rPr>
        <w:t xml:space="preserve">іб</w:t>
      </w:r>
      <w:r>
        <w:rPr>
          <w:rFonts w:eastAsia="Calibri"/>
          <w:sz w:val="28"/>
          <w:szCs w:val="28"/>
          <w:lang w:val="uk-UA" w:eastAsia="en-US"/>
        </w:rPr>
        <w:t xml:space="preserve">, станом на </w:t>
      </w:r>
      <w:r>
        <w:rPr>
          <w:rFonts w:eastAsia="Calibri"/>
          <w:sz w:val="28"/>
          <w:szCs w:val="28"/>
          <w:lang w:eastAsia="en-US"/>
        </w:rPr>
        <w:t xml:space="preserve">01 січня</w:t>
      </w:r>
      <w:r>
        <w:rPr>
          <w:rFonts w:eastAsia="Calibri"/>
          <w:sz w:val="28"/>
          <w:szCs w:val="28"/>
          <w:lang w:val="uk-UA" w:eastAsia="en-US"/>
        </w:rPr>
        <w:t xml:space="preserve"> 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року –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eastAsia="en-US"/>
        </w:rPr>
        <w:t xml:space="preserve">7</w:t>
      </w:r>
      <w:r>
        <w:rPr>
          <w:rFonts w:eastAsia="Calibri"/>
          <w:sz w:val="28"/>
          <w:szCs w:val="28"/>
          <w:lang w:val="uk-UA" w:eastAsia="en-US"/>
        </w:rPr>
        <w:t xml:space="preserve"> </w:t>
      </w:r>
      <w:r>
        <w:rPr>
          <w:rFonts w:eastAsia="Calibri"/>
          <w:sz w:val="28"/>
          <w:szCs w:val="28"/>
          <w:lang w:eastAsia="en-US"/>
        </w:rPr>
        <w:t xml:space="preserve">123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ос</w:t>
      </w:r>
      <w:r>
        <w:rPr>
          <w:rFonts w:eastAsia="Calibri"/>
          <w:sz w:val="28"/>
          <w:szCs w:val="28"/>
          <w:lang w:val="uk-UA" w:eastAsia="en-US"/>
        </w:rPr>
        <w:t xml:space="preserve">оби.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Загальна кількість структурних підрозділів – 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амбулаторій. </w:t>
      </w:r>
      <w:r>
        <w:rPr>
          <w:rFonts w:eastAsia="Calibri"/>
          <w:sz w:val="28"/>
          <w:szCs w:val="28"/>
          <w:lang w:val="uk-UA" w:eastAsia="en-US"/>
        </w:rPr>
        <w:t xml:space="preserve">На території Менської міської ТГ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розміщено 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мбулаторі</w:t>
      </w:r>
      <w:r>
        <w:rPr>
          <w:rFonts w:eastAsia="Calibri"/>
          <w:sz w:val="28"/>
          <w:szCs w:val="28"/>
          <w:lang w:val="uk-UA" w:eastAsia="en-US"/>
        </w:rPr>
        <w:t xml:space="preserve">ї. Первинна медична допомога надається в МПТБ, створених на базі ФАП та ФП. На території Менської міської ТГ створено 19 МПТБ, Березнянської селищної ТГ – 3.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Кадрове забезпечення</w:t>
      </w:r>
      <w:r>
        <w:rPr>
          <w:rFonts w:eastAsia="Calibri"/>
          <w:b/>
          <w:sz w:val="28"/>
          <w:szCs w:val="28"/>
          <w:lang w:val="uk-UA" w:eastAsia="en-US"/>
        </w:rPr>
      </w: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Штати підприємства становлять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04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 штатних посади. </w:t>
      </w: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закладі працює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96</w:t>
      </w:r>
      <w:r>
        <w:rPr>
          <w:sz w:val="28"/>
          <w:szCs w:val="28"/>
          <w:lang w:val="uk-UA"/>
        </w:rPr>
        <w:t xml:space="preserve"> ос</w:t>
      </w:r>
      <w:r>
        <w:rPr>
          <w:sz w:val="28"/>
          <w:szCs w:val="28"/>
          <w:lang w:val="uk-UA"/>
        </w:rPr>
        <w:t xml:space="preserve">іб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з них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лікарів – </w:t>
      </w:r>
      <w:r>
        <w:rPr>
          <w:sz w:val="28"/>
          <w:szCs w:val="28"/>
          <w:lang w:val="uk-UA"/>
        </w:rPr>
        <w:t xml:space="preserve">19</w:t>
      </w:r>
      <w:r>
        <w:rPr>
          <w:sz w:val="28"/>
          <w:szCs w:val="28"/>
          <w:lang w:val="uk-UA"/>
        </w:rPr>
        <w:t xml:space="preserve"> ос.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2 – керівний склад, 1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 –  сімейні лікарі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лікар-педіатр – 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молодших </w:t>
      </w:r>
      <w:r>
        <w:rPr>
          <w:sz w:val="28"/>
          <w:szCs w:val="28"/>
          <w:lang w:val="uk-UA"/>
        </w:rPr>
        <w:t xml:space="preserve">спеціалістів з медичною освітою – </w:t>
      </w:r>
      <w:r>
        <w:rPr>
          <w:sz w:val="28"/>
          <w:szCs w:val="28"/>
          <w:lang w:val="uk-UA"/>
        </w:rPr>
        <w:t xml:space="preserve">49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ос., в т.ч. фельдшерів –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, сестер медичних – 3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, акушерок –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 та 1 статистик медичний.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комплектованість лікарських посад</w:t>
      </w:r>
      <w:r>
        <w:rPr>
          <w:sz w:val="28"/>
          <w:szCs w:val="28"/>
          <w:lang w:val="uk-UA"/>
        </w:rPr>
        <w:t xml:space="preserve"> становить </w:t>
      </w:r>
      <w:r>
        <w:rPr>
          <w:sz w:val="28"/>
          <w:szCs w:val="28"/>
          <w:lang w:val="uk-UA"/>
        </w:rPr>
        <w:t xml:space="preserve">83,5</w:t>
      </w:r>
      <w:r>
        <w:rPr>
          <w:sz w:val="28"/>
          <w:szCs w:val="28"/>
          <w:lang w:val="uk-UA"/>
        </w:rPr>
        <w:t xml:space="preserve">%</w:t>
      </w:r>
      <w:r>
        <w:rPr>
          <w:sz w:val="28"/>
          <w:szCs w:val="28"/>
          <w:lang w:val="uk-UA"/>
        </w:rPr>
        <w:t xml:space="preserve">, у</w:t>
      </w:r>
      <w:r>
        <w:rPr>
          <w:sz w:val="28"/>
          <w:szCs w:val="28"/>
          <w:lang w:val="uk-UA"/>
        </w:rPr>
        <w:t xml:space="preserve">комплектованість </w:t>
      </w:r>
      <w:r>
        <w:rPr>
          <w:sz w:val="28"/>
          <w:szCs w:val="28"/>
          <w:lang w:val="uk-UA"/>
        </w:rPr>
        <w:t xml:space="preserve">посад сімейних лікарів – </w:t>
      </w:r>
      <w:r>
        <w:rPr>
          <w:sz w:val="28"/>
          <w:szCs w:val="28"/>
          <w:lang w:val="uk-UA"/>
        </w:rPr>
        <w:t xml:space="preserve">88,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%</w:t>
      </w:r>
      <w:r>
        <w:rPr>
          <w:sz w:val="28"/>
          <w:szCs w:val="28"/>
          <w:lang w:val="uk-UA"/>
        </w:rPr>
        <w:t xml:space="preserve">. Забезпеченість сімейними лікарями в сільській місцевості становить </w:t>
      </w:r>
      <w:r>
        <w:rPr>
          <w:sz w:val="28"/>
          <w:szCs w:val="28"/>
          <w:lang w:val="uk-UA"/>
        </w:rPr>
        <w:t xml:space="preserve">88,9</w:t>
      </w:r>
      <w:r>
        <w:rPr>
          <w:sz w:val="28"/>
          <w:szCs w:val="28"/>
          <w:lang w:val="uk-UA"/>
        </w:rPr>
        <w:t xml:space="preserve">%.</w:t>
      </w:r>
      <w:r>
        <w:rPr>
          <w:sz w:val="28"/>
          <w:szCs w:val="28"/>
          <w:lang w:val="uk-UA"/>
        </w:rPr>
        <w:t xml:space="preserve"> Серед лікарів особи пенсійного віку </w:t>
      </w:r>
      <w:r>
        <w:rPr>
          <w:sz w:val="28"/>
          <w:szCs w:val="28"/>
          <w:lang w:val="uk-UA"/>
        </w:rPr>
        <w:t xml:space="preserve">становлять  </w:t>
      </w:r>
      <w:r>
        <w:rPr>
          <w:sz w:val="28"/>
          <w:szCs w:val="28"/>
          <w:lang w:val="uk-UA"/>
        </w:rPr>
        <w:t xml:space="preserve">52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 %.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акантн</w:t>
      </w:r>
      <w:r>
        <w:rPr>
          <w:sz w:val="28"/>
          <w:szCs w:val="28"/>
          <w:lang w:val="uk-UA"/>
        </w:rPr>
        <w:t xml:space="preserve">ою залишається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посада лікаря загальної практики-сімейного лікаря  </w:t>
      </w:r>
      <w:r>
        <w:rPr>
          <w:sz w:val="28"/>
          <w:szCs w:val="28"/>
          <w:lang w:val="uk-UA"/>
        </w:rPr>
        <w:t xml:space="preserve">Стольненської  сільської  лікарської</w:t>
      </w:r>
      <w:r>
        <w:rPr>
          <w:sz w:val="28"/>
          <w:szCs w:val="28"/>
          <w:lang w:val="uk-UA"/>
        </w:rPr>
        <w:t xml:space="preserve"> амбулат</w:t>
      </w:r>
      <w:r>
        <w:rPr>
          <w:sz w:val="28"/>
          <w:szCs w:val="28"/>
          <w:lang w:val="uk-UA"/>
        </w:rPr>
        <w:t xml:space="preserve">орії</w:t>
      </w:r>
      <w:r>
        <w:rPr>
          <w:sz w:val="28"/>
          <w:szCs w:val="28"/>
          <w:lang w:val="uk-UA"/>
        </w:rPr>
        <w:t xml:space="preserve"> загальної практики</w:t>
      </w: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сімейної медицини.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Укомплектованість молодшими с</w:t>
      </w:r>
      <w:r>
        <w:rPr>
          <w:sz w:val="28"/>
          <w:szCs w:val="28"/>
          <w:lang w:val="uk-UA"/>
        </w:rPr>
        <w:t xml:space="preserve">пеціалістами з медичною освітою –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99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%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порівнянні з 202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 роком у 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році штатна чисельність працівників </w:t>
      </w:r>
      <w:r>
        <w:rPr>
          <w:sz w:val="28"/>
          <w:szCs w:val="28"/>
          <w:lang w:val="uk-UA"/>
        </w:rPr>
        <w:t xml:space="preserve">не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змінилася.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Стан надання медичної допомоги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Робота щодо надання медичної допомоги населенню протягом року проводилась в умовах </w:t>
      </w:r>
      <w:r>
        <w:rPr>
          <w:sz w:val="28"/>
          <w:szCs w:val="28"/>
          <w:lang w:val="uk-UA"/>
        </w:rPr>
        <w:t xml:space="preserve">воєнного стану, </w:t>
      </w:r>
      <w:r>
        <w:rPr>
          <w:sz w:val="28"/>
          <w:szCs w:val="28"/>
          <w:lang w:val="uk-UA"/>
        </w:rPr>
        <w:t xml:space="preserve">міграції населення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rFonts w:eastAsia="Calibri"/>
          <w:sz w:val="28"/>
          <w:szCs w:val="28"/>
          <w:highlight w:val="yellow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У 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році підприємство мало </w:t>
      </w:r>
      <w:r>
        <w:rPr>
          <w:rFonts w:eastAsia="Calibri"/>
          <w:sz w:val="28"/>
          <w:szCs w:val="28"/>
          <w:lang w:val="uk-UA" w:eastAsia="en-US"/>
        </w:rPr>
        <w:t xml:space="preserve">3</w:t>
      </w:r>
      <w:r>
        <w:rPr>
          <w:rFonts w:eastAsia="Calibri"/>
          <w:sz w:val="28"/>
          <w:szCs w:val="28"/>
          <w:lang w:val="uk-UA" w:eastAsia="en-US"/>
        </w:rPr>
        <w:t xml:space="preserve"> підписаних з НСЗУ договори: </w:t>
      </w:r>
      <w:r>
        <w:rPr>
          <w:rFonts w:eastAsia="Calibri"/>
          <w:sz w:val="28"/>
          <w:szCs w:val="28"/>
          <w:highlight w:val="yellow"/>
          <w:lang w:val="uk-UA" w:eastAsia="en-US"/>
        </w:rPr>
      </w:r>
      <w:r>
        <w:rPr>
          <w:rFonts w:eastAsia="Calibri"/>
          <w:sz w:val="28"/>
          <w:szCs w:val="28"/>
          <w:highlight w:val="yellow"/>
          <w:lang w:val="uk-UA" w:eastAsia="en-US"/>
        </w:rPr>
      </w:r>
    </w:p>
    <w:p>
      <w:pPr>
        <w:pStyle w:val="920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«Первинна медична допомога»;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«Мобільна паліативна допомога дорослим та дітям»;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«</w:t>
      </w:r>
      <w:r>
        <w:rPr>
          <w:rFonts w:eastAsia="Calibri"/>
          <w:sz w:val="28"/>
          <w:szCs w:val="28"/>
          <w:lang w:val="uk-UA" w:eastAsia="en-US"/>
        </w:rPr>
        <w:t xml:space="preserve">Розширені послуги з первинної медичної допомоги окремим категоріям осіб, які захищали незалежність, суверенітет та територіальну цілісність України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jc w:val="both"/>
        <w:rPr>
          <w:rFonts w:eastAsia="Calibri"/>
          <w:b/>
          <w:i/>
          <w:sz w:val="16"/>
          <w:szCs w:val="16"/>
          <w:lang w:val="uk-UA" w:eastAsia="en-US"/>
        </w:rPr>
      </w:pPr>
      <w:r>
        <w:rPr>
          <w:rFonts w:eastAsia="Calibri"/>
          <w:b/>
          <w:i/>
          <w:sz w:val="28"/>
          <w:szCs w:val="28"/>
          <w:lang w:val="uk-UA" w:eastAsia="en-US"/>
        </w:rPr>
        <w:tab/>
      </w:r>
      <w:r>
        <w:rPr>
          <w:rFonts w:eastAsia="Calibri"/>
          <w:b/>
          <w:i/>
          <w:sz w:val="16"/>
          <w:szCs w:val="16"/>
          <w:lang w:val="uk-UA" w:eastAsia="en-US"/>
        </w:rPr>
      </w:r>
      <w:r>
        <w:rPr>
          <w:rFonts w:eastAsia="Calibri"/>
          <w:b/>
          <w:i/>
          <w:sz w:val="16"/>
          <w:szCs w:val="16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16"/>
          <w:szCs w:val="16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До сімейних лікарів – 5</w:t>
      </w:r>
      <w:r>
        <w:rPr>
          <w:rFonts w:eastAsia="Calibri"/>
          <w:sz w:val="28"/>
          <w:szCs w:val="28"/>
          <w:lang w:val="uk-UA" w:eastAsia="en-US"/>
        </w:rPr>
        <w:t xml:space="preserve">7053</w:t>
      </w:r>
      <w:r>
        <w:rPr>
          <w:rFonts w:eastAsia="Calibri"/>
          <w:sz w:val="28"/>
          <w:szCs w:val="28"/>
          <w:lang w:val="uk-UA" w:eastAsia="en-US"/>
        </w:rPr>
        <w:t xml:space="preserve">, із них з профілактичною метою – </w:t>
      </w:r>
      <w:r>
        <w:rPr>
          <w:rFonts w:eastAsia="Calibri"/>
          <w:sz w:val="28"/>
          <w:szCs w:val="28"/>
          <w:lang w:val="uk-UA" w:eastAsia="en-US"/>
        </w:rPr>
        <w:t xml:space="preserve">44</w:t>
      </w:r>
      <w:r>
        <w:rPr>
          <w:rFonts w:eastAsia="Calibri"/>
          <w:sz w:val="28"/>
          <w:szCs w:val="28"/>
          <w:lang w:val="uk-UA" w:eastAsia="en-US"/>
        </w:rPr>
        <w:t xml:space="preserve">97</w:t>
      </w:r>
      <w:r>
        <w:rPr>
          <w:rFonts w:eastAsia="Calibri"/>
          <w:sz w:val="28"/>
          <w:szCs w:val="28"/>
          <w:lang w:val="uk-UA" w:eastAsia="en-US"/>
        </w:rPr>
        <w:t xml:space="preserve">, з приводу захворювань – </w:t>
      </w:r>
      <w:r>
        <w:rPr>
          <w:rFonts w:eastAsia="Calibri"/>
          <w:sz w:val="28"/>
          <w:szCs w:val="28"/>
          <w:lang w:val="uk-UA" w:eastAsia="en-US"/>
        </w:rPr>
        <w:t xml:space="preserve">52556</w:t>
      </w:r>
      <w:r>
        <w:rPr>
          <w:rFonts w:eastAsia="Calibri"/>
          <w:sz w:val="28"/>
          <w:szCs w:val="28"/>
          <w:lang w:val="uk-UA" w:eastAsia="en-US"/>
        </w:rPr>
        <w:t xml:space="preserve">   (дорослі – </w:t>
      </w:r>
      <w:r>
        <w:rPr>
          <w:rFonts w:eastAsia="Calibri"/>
          <w:sz w:val="28"/>
          <w:szCs w:val="28"/>
          <w:lang w:val="uk-UA" w:eastAsia="en-US"/>
        </w:rPr>
        <w:t xml:space="preserve">50372</w:t>
      </w:r>
      <w:r>
        <w:rPr>
          <w:rFonts w:eastAsia="Calibri"/>
          <w:sz w:val="28"/>
          <w:szCs w:val="28"/>
          <w:lang w:val="uk-UA" w:eastAsia="en-US"/>
        </w:rPr>
        <w:t xml:space="preserve">, діти – 2</w:t>
      </w:r>
      <w:r>
        <w:rPr>
          <w:rFonts w:eastAsia="Calibri"/>
          <w:sz w:val="28"/>
          <w:szCs w:val="28"/>
          <w:lang w:val="uk-UA" w:eastAsia="en-US"/>
        </w:rPr>
        <w:t xml:space="preserve">184</w:t>
      </w:r>
      <w:r>
        <w:rPr>
          <w:rFonts w:eastAsia="Calibri"/>
          <w:sz w:val="28"/>
          <w:szCs w:val="28"/>
          <w:lang w:val="uk-UA" w:eastAsia="en-US"/>
        </w:rPr>
        <w:t xml:space="preserve">). </w:t>
      </w: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Лікарями закладу у 2025 році було здійснено 164 виїзд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 до сільських населених пунктів, оглянуто 2144 ос</w:t>
      </w:r>
      <w:r>
        <w:rPr>
          <w:rFonts w:eastAsia="Calibri"/>
          <w:sz w:val="28"/>
          <w:szCs w:val="28"/>
          <w:lang w:val="uk-UA" w:eastAsia="en-US"/>
        </w:rPr>
        <w:t xml:space="preserve">оби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16"/>
          <w:szCs w:val="16"/>
          <w:lang w:val="uk-UA" w:eastAsia="en-US"/>
        </w:rPr>
      </w:pP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В 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році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аклад </w:t>
      </w:r>
      <w:r>
        <w:rPr>
          <w:rFonts w:eastAsia="Calibri"/>
          <w:sz w:val="28"/>
          <w:szCs w:val="28"/>
          <w:lang w:val="uk-UA" w:eastAsia="en-US"/>
        </w:rPr>
        <w:t xml:space="preserve">продовжив</w:t>
      </w:r>
      <w:r>
        <w:rPr>
          <w:rFonts w:eastAsia="Calibri"/>
          <w:sz w:val="28"/>
          <w:szCs w:val="28"/>
          <w:lang w:val="uk-UA" w:eastAsia="en-US"/>
        </w:rPr>
        <w:t xml:space="preserve"> роботу за універсально-прогресивною моделлю домашніх візитів до дітей 1-3 років</w:t>
      </w:r>
      <w:r>
        <w:rPr>
          <w:rFonts w:eastAsia="Calibri"/>
          <w:sz w:val="28"/>
          <w:szCs w:val="28"/>
          <w:lang w:val="uk-UA" w:eastAsia="en-US"/>
        </w:rPr>
        <w:t xml:space="preserve">, станом на 01.01.202</w:t>
      </w:r>
      <w:r>
        <w:rPr>
          <w:rFonts w:eastAsia="Calibri"/>
          <w:sz w:val="28"/>
          <w:szCs w:val="28"/>
          <w:lang w:val="uk-UA" w:eastAsia="en-US"/>
        </w:rPr>
        <w:t xml:space="preserve">6</w:t>
      </w:r>
      <w:r>
        <w:rPr>
          <w:rFonts w:eastAsia="Calibri"/>
          <w:sz w:val="28"/>
          <w:szCs w:val="28"/>
          <w:lang w:val="uk-UA" w:eastAsia="en-US"/>
        </w:rPr>
        <w:t xml:space="preserve"> - візитами охоплено </w:t>
      </w:r>
      <w:r>
        <w:rPr>
          <w:rFonts w:eastAsia="Calibri"/>
          <w:sz w:val="28"/>
          <w:szCs w:val="28"/>
          <w:lang w:val="uk-UA" w:eastAsia="en-US"/>
        </w:rPr>
        <w:t xml:space="preserve">115 </w:t>
      </w:r>
      <w:r>
        <w:rPr>
          <w:rFonts w:eastAsia="Calibri"/>
          <w:sz w:val="28"/>
          <w:szCs w:val="28"/>
          <w:lang w:val="uk-UA" w:eastAsia="en-US"/>
        </w:rPr>
        <w:t xml:space="preserve">дітей </w:t>
      </w:r>
      <w:r>
        <w:rPr>
          <w:rFonts w:eastAsia="Calibri"/>
          <w:sz w:val="28"/>
          <w:szCs w:val="28"/>
          <w:lang w:val="uk-UA" w:eastAsia="en-US"/>
        </w:rPr>
        <w:t xml:space="preserve">(</w:t>
      </w:r>
      <w:r>
        <w:rPr>
          <w:rFonts w:eastAsia="Calibri"/>
          <w:sz w:val="28"/>
          <w:szCs w:val="28"/>
          <w:lang w:val="uk-UA" w:eastAsia="en-US"/>
        </w:rPr>
        <w:t xml:space="preserve">станом на 01.01.202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– </w:t>
      </w:r>
      <w:r>
        <w:rPr>
          <w:rFonts w:eastAsia="Calibri"/>
          <w:sz w:val="28"/>
          <w:szCs w:val="28"/>
          <w:lang w:val="uk-UA" w:eastAsia="en-US"/>
        </w:rPr>
        <w:t xml:space="preserve">70</w:t>
      </w:r>
      <w:r>
        <w:rPr>
          <w:rFonts w:eastAsia="Calibri"/>
          <w:sz w:val="28"/>
          <w:szCs w:val="28"/>
          <w:lang w:val="uk-UA" w:eastAsia="en-US"/>
        </w:rPr>
        <w:t xml:space="preserve"> дітей).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Протягом 2025 року медичні працівники закладу активно навчались завдяки відвідуванню тренінгів та конференцій: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Базові реанімаційні заходи для дорослих,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Базові реанімаційні заходи для дітей,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Імунопрофілактика інфекційних хвороб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Медична допомога ветеранам: нові виклики і рішення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Формування толерантного ставлення до людей, які хворіють на ТБ та представників груп найвищого ризику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Застосування скринінгів на виявлення онкології та хронічного болю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Інноваційні підходи до діагностики та моніторингу стану пацієнтів з наявними ендокринними та неврологічними хворобами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Сучасні підходи до диференціальної діагностики головного болю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Профілактика та лікування пацієнтів із артеріальною гіпертензією та діабетом на рівні первинної медичної допомоги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Основні принципи діагностики та лікування захворювань органів дихання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Терапія остеоартриту-шлях ефективних та безпечних рішень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Лікування пацієнтів із легкою черепно-мозковою травмою від дії вибухової хвилі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Ведення вагітних жінок у закладах первинної та вторинної медико-санітарної допомоги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( сексуальне та репродуктивне здоров’я)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Актуальні питання сучасної онкології: чоловіче здоров’я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 Універсально-прогресивна модель домашніх візитів до дітей 0-3 років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Антикризова комунікація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Упровадження мультидисциплінарного підходу до надання послуг уразливим групам на рівні первинної медичної допомоги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widowControl w:val="false"/>
        <w:pBdr/>
        <w:spacing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Стан фінансового забезпечення</w:t>
      </w:r>
      <w:r>
        <w:rPr>
          <w:rFonts w:eastAsia="Calibri"/>
          <w:b/>
          <w:sz w:val="28"/>
          <w:szCs w:val="28"/>
          <w:lang w:val="uk-UA" w:eastAsia="en-US"/>
        </w:rPr>
      </w: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i/>
          <w:sz w:val="28"/>
          <w:szCs w:val="28"/>
          <w:lang w:val="uk-UA" w:eastAsia="en-US"/>
        </w:rPr>
        <w:t xml:space="preserve">Доходи в грошовій формі в 2025 році </w:t>
      </w:r>
      <w:r>
        <w:rPr>
          <w:rFonts w:eastAsia="Calibri"/>
          <w:bCs/>
          <w:i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склали  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27 732,4 тис. грн.</w:t>
      </w:r>
      <w:r>
        <w:rPr>
          <w:rFonts w:eastAsia="Calibri"/>
          <w:sz w:val="28"/>
          <w:szCs w:val="28"/>
          <w:lang w:val="uk-UA" w:eastAsia="en-US"/>
        </w:rPr>
        <w:t xml:space="preserve">. З них: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кошти НЗСУ – 22665,0 тис. грн. – 81,73%;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кошти місцевого бюджету -  4707,0 тис. грн. – 16,97%;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платні послуги – 27,8 тис. грн. – 0,1%.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позабюджетні кошти – 332,6 тис. грн. – 0,21%.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До позабюджетних коштів відносяться оренда та відшкодування послуг (крім комунальних) орендарями в сумі 172,2 тис. грн., відсотки за депозит – 149,5 тис. грн.,  та інші в сумі 10,8 тис. 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16"/>
          <w:szCs w:val="16"/>
          <w:lang w:val="uk-UA" w:eastAsia="en-US"/>
        </w:rPr>
      </w:pP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У 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році завдяки співпраці з благодійними організаціями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органами місцевого самоврядування, міжнародними організаціями значно покращилась матеріально-технічна база закладу.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16"/>
          <w:szCs w:val="16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  </w:t>
      </w: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center"/>
        <w:rPr>
          <w:rFonts w:eastAsia="Calibri"/>
          <w:b/>
          <w:bCs/>
          <w:i/>
          <w:iCs/>
          <w:sz w:val="28"/>
          <w:szCs w:val="28"/>
          <w:lang w:val="uk-UA" w:eastAsia="en-US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Гуманітарна допомога надана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в 2025 році: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b/>
          <w:bCs/>
          <w:sz w:val="28"/>
          <w:szCs w:val="28"/>
          <w:u w:val="single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«ЮНІСЕФ»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 :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Холодильник для зберігання вакцини для Макошинської ЛА ЗПСМ – 52,931 тис.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Білірубінометр локальний SL14075 Bilirubin meter, local для Березнянської ЛА ЗПСМ</w:t>
      </w:r>
      <w:r>
        <w:rPr>
          <w:rFonts w:eastAsia="Calibri"/>
          <w:sz w:val="28"/>
          <w:szCs w:val="28"/>
          <w:lang w:val="uk-UA" w:eastAsia="en-US"/>
        </w:rPr>
        <w:t xml:space="preserve"> – </w:t>
      </w:r>
      <w:r>
        <w:rPr>
          <w:rFonts w:eastAsia="Calibri"/>
          <w:sz w:val="28"/>
          <w:szCs w:val="28"/>
          <w:lang w:val="uk-UA" w:eastAsia="en-US"/>
        </w:rPr>
        <w:t xml:space="preserve">50,820 тис.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М</w:t>
      </w:r>
      <w:r>
        <w:rPr>
          <w:rFonts w:eastAsia="Calibri"/>
          <w:sz w:val="28"/>
          <w:szCs w:val="28"/>
          <w:lang w:val="uk-UA" w:eastAsia="en-US"/>
        </w:rPr>
        <w:t xml:space="preserve">еблі і дитячі розвиваючі комплекти на суму 166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145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Сімейні комплекти </w:t>
      </w:r>
      <w:r>
        <w:rPr>
          <w:rFonts w:eastAsia="Calibri"/>
          <w:sz w:val="28"/>
          <w:szCs w:val="28"/>
          <w:lang w:val="uk-UA" w:eastAsia="en-US"/>
        </w:rPr>
        <w:t xml:space="preserve">для </w:t>
      </w:r>
      <w:r>
        <w:rPr>
          <w:rFonts w:eastAsia="Calibri"/>
          <w:sz w:val="28"/>
          <w:szCs w:val="28"/>
          <w:lang w:val="uk-UA" w:eastAsia="en-US"/>
        </w:rPr>
        <w:t xml:space="preserve">відвідування вдома 50 шт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на суму 76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818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highlight w:val="none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Набір д</w:t>
      </w:r>
      <w:r>
        <w:rPr>
          <w:rFonts w:eastAsia="Calibri"/>
          <w:sz w:val="28"/>
          <w:szCs w:val="28"/>
          <w:lang w:val="uk-UA" w:eastAsia="en-US"/>
        </w:rPr>
        <w:t xml:space="preserve">дя </w:t>
      </w:r>
      <w:r>
        <w:rPr>
          <w:rFonts w:eastAsia="Calibri"/>
          <w:sz w:val="28"/>
          <w:szCs w:val="28"/>
          <w:lang w:val="uk-UA" w:eastAsia="en-US"/>
        </w:rPr>
        <w:t xml:space="preserve">медсестри 3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шт. на суму 17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181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highlight w:val="none"/>
          <w:lang w:val="uk-UA" w:eastAsia="en-US"/>
        </w:rPr>
      </w:r>
      <w:r>
        <w:rPr>
          <w:rFonts w:eastAsia="Calibri"/>
          <w:sz w:val="28"/>
          <w:szCs w:val="28"/>
          <w:highlight w:val="none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highlight w:val="none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b/>
          <w:bCs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Представництв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о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 Міжнародного медичного корпусу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:</w:t>
      </w:r>
      <w:r>
        <w:rPr>
          <w:rFonts w:eastAsia="Calibri"/>
          <w:b/>
          <w:bCs/>
          <w:sz w:val="28"/>
          <w:szCs w:val="28"/>
          <w:lang w:val="uk-UA" w:eastAsia="en-US"/>
        </w:rPr>
      </w:r>
      <w:r>
        <w:rPr>
          <w:rFonts w:eastAsia="Calibri"/>
          <w:b/>
          <w:bCs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Ноутбуки  HP 250 G9 (724V7EA)15.6  2 шт. для Менської ЛА – 47,443 тис.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Ноутбук  HP 250 G9 (9V1E2AT) 15.6 для Менської ЛА </w:t>
      </w:r>
      <w:r>
        <w:rPr>
          <w:rFonts w:eastAsia="Calibri"/>
          <w:sz w:val="28"/>
          <w:szCs w:val="28"/>
          <w:lang w:val="uk-UA" w:eastAsia="en-US"/>
        </w:rPr>
        <w:t xml:space="preserve"> – </w:t>
      </w:r>
      <w:r>
        <w:rPr>
          <w:rFonts w:eastAsia="Calibri"/>
          <w:sz w:val="28"/>
          <w:szCs w:val="28"/>
          <w:lang w:val="uk-UA" w:eastAsia="en-US"/>
        </w:rPr>
        <w:t xml:space="preserve"> 24,411 тис.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Ноутбук  HP 250 G9 (724V7EA)15.6  для Березнянської ЛА ЗПСМ – 24,411 тис. грн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Інша к</w:t>
      </w:r>
      <w:r>
        <w:rPr>
          <w:rFonts w:eastAsia="Calibri"/>
          <w:sz w:val="28"/>
          <w:szCs w:val="28"/>
          <w:lang w:val="uk-UA" w:eastAsia="en-US"/>
        </w:rPr>
        <w:t xml:space="preserve">омп’ютерн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 технік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 н</w:t>
      </w:r>
      <w:r>
        <w:rPr>
          <w:rFonts w:eastAsia="Calibri"/>
          <w:sz w:val="28"/>
          <w:szCs w:val="28"/>
          <w:lang w:val="uk-UA" w:eastAsia="en-US"/>
        </w:rPr>
        <w:t xml:space="preserve">а суму 117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730 тис. грн.;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Підгузки на суму 84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388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Господарські засоби на суму 149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579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(в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.ч візок д</w:t>
      </w:r>
      <w:r>
        <w:rPr>
          <w:rFonts w:eastAsia="Calibri"/>
          <w:sz w:val="28"/>
          <w:szCs w:val="28"/>
          <w:lang w:val="uk-UA" w:eastAsia="en-US"/>
        </w:rPr>
        <w:t xml:space="preserve">ля </w:t>
      </w:r>
      <w:r>
        <w:rPr>
          <w:rFonts w:eastAsia="Calibri"/>
          <w:sz w:val="28"/>
          <w:szCs w:val="28"/>
          <w:lang w:val="uk-UA" w:eastAsia="en-US"/>
        </w:rPr>
        <w:t xml:space="preserve">прибирання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шт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, швабри, насадки на швабри, рукавички латексні, відра з педаллю, таблички попереджува</w:t>
      </w:r>
      <w:r>
        <w:rPr>
          <w:rFonts w:eastAsia="Calibri"/>
          <w:sz w:val="28"/>
          <w:szCs w:val="28"/>
          <w:lang w:val="uk-UA" w:eastAsia="en-US"/>
        </w:rPr>
        <w:t xml:space="preserve">ль</w:t>
      </w:r>
      <w:r>
        <w:rPr>
          <w:rFonts w:eastAsia="Calibri"/>
          <w:sz w:val="28"/>
          <w:szCs w:val="28"/>
          <w:lang w:val="uk-UA" w:eastAsia="en-US"/>
        </w:rPr>
        <w:t xml:space="preserve">ні, засоби д</w:t>
      </w:r>
      <w:r>
        <w:rPr>
          <w:rFonts w:eastAsia="Calibri"/>
          <w:sz w:val="28"/>
          <w:szCs w:val="28"/>
          <w:lang w:val="uk-UA" w:eastAsia="en-US"/>
        </w:rPr>
        <w:t xml:space="preserve">ля </w:t>
      </w:r>
      <w:r>
        <w:rPr>
          <w:rFonts w:eastAsia="Calibri"/>
          <w:sz w:val="28"/>
          <w:szCs w:val="28"/>
          <w:lang w:val="uk-UA" w:eastAsia="en-US"/>
        </w:rPr>
        <w:t xml:space="preserve">миття</w:t>
      </w:r>
      <w:r>
        <w:rPr>
          <w:rFonts w:eastAsia="Calibri"/>
          <w:sz w:val="28"/>
          <w:szCs w:val="28"/>
          <w:lang w:val="uk-UA" w:eastAsia="en-US"/>
        </w:rPr>
        <w:t xml:space="preserve">)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b/>
          <w:bCs/>
          <w:sz w:val="28"/>
          <w:szCs w:val="28"/>
          <w:u w:val="single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Філі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я 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Асоціації «Medicos del Mundo»: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Мультимедійний проектор, 4K Acer H6815ATV UHD, 4000 </w:t>
      </w:r>
      <w:bookmarkStart w:id="1" w:name="_Hlk219107728"/>
      <w:r>
        <w:rPr>
          <w:rFonts w:eastAsia="Calibri"/>
          <w:sz w:val="28"/>
          <w:szCs w:val="28"/>
          <w:lang w:val="uk-UA" w:eastAsia="en-US"/>
        </w:rPr>
        <w:t xml:space="preserve">– </w:t>
      </w:r>
      <w:bookmarkEnd w:id="1"/>
      <w:r>
        <w:rPr>
          <w:rFonts w:eastAsia="Calibri"/>
          <w:sz w:val="28"/>
          <w:szCs w:val="28"/>
          <w:lang w:val="uk-UA" w:eastAsia="en-US"/>
        </w:rPr>
        <w:t xml:space="preserve">42,714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 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Підвісний моторизований екран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</w:t>
      </w:r>
      <w:r>
        <w:rPr>
          <w:rFonts w:eastAsia="Calibri"/>
          <w:sz w:val="28"/>
          <w:szCs w:val="28"/>
          <w:lang w:val="uk-UA" w:eastAsia="en-US"/>
        </w:rPr>
        <w:t xml:space="preserve">оутбук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НР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</w:t>
      </w:r>
      <w:r>
        <w:rPr>
          <w:rFonts w:eastAsia="Calibri"/>
          <w:sz w:val="28"/>
          <w:szCs w:val="28"/>
          <w:lang w:val="uk-UA" w:eastAsia="en-US"/>
        </w:rPr>
        <w:t xml:space="preserve">ольоровий принтер Canon з Wi-Fi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на загальну суму 40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351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Засоби захисту на суму 30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076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Планшет Lenovo 2 шт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на суму 9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240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highlight w:val="none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Складний стіл одномісний 15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шт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ф</w:t>
      </w:r>
      <w:r>
        <w:rPr>
          <w:rFonts w:eastAsia="Calibri"/>
          <w:sz w:val="28"/>
          <w:szCs w:val="28"/>
          <w:lang w:val="uk-UA" w:eastAsia="en-US"/>
        </w:rPr>
        <w:t xml:space="preserve">ліпчарт 2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шт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на суму  30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540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highlight w:val="none"/>
          <w:lang w:val="uk-UA" w:eastAsia="en-US"/>
        </w:rPr>
      </w:r>
      <w:r>
        <w:rPr>
          <w:rFonts w:eastAsia="Calibri"/>
          <w:sz w:val="28"/>
          <w:szCs w:val="28"/>
          <w:highlight w:val="none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highlight w:val="none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b/>
          <w:bCs/>
          <w:sz w:val="28"/>
          <w:szCs w:val="28"/>
          <w:u w:val="single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Представництво Норвезької Ради у Справах Біженців в Україні: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</w:p>
    <w:p>
      <w:pPr>
        <w:pStyle w:val="920"/>
        <w:numPr>
          <w:ilvl w:val="0"/>
          <w:numId w:val="18"/>
        </w:numPr>
        <w:pBdr/>
        <w:spacing w:after="160" w:line="259" w:lineRule="auto"/>
        <w:ind w:firstLine="567" w:left="0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Встановлення гібридної сонячної електростанції на покрівлі будівлі Стольненської СЛА ЗПСМ з номінальною потужністю інвертора 15кВт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b/>
          <w:bCs/>
          <w:sz w:val="28"/>
          <w:szCs w:val="28"/>
          <w:u w:val="single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КУ «Обласна база спеціального медичного постачання»:</w:t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  <w:r>
        <w:rPr>
          <w:rFonts w:eastAsia="Calibri"/>
          <w:b/>
          <w:bCs/>
          <w:sz w:val="28"/>
          <w:szCs w:val="28"/>
          <w:u w:val="single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Мобільний апаратно-діагностичний комплекс для Менської ЛА ЗПСМ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460,566 тис. 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Ноутбук Acer Aspire Go AG 15-71 P для Менської ЛА ЗПСМ 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32,780 тис. 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Чернігівська обласна організація «Червоний хрест»</w:t>
      </w:r>
      <w:r>
        <w:rPr>
          <w:rFonts w:eastAsia="Calibri"/>
          <w:sz w:val="28"/>
          <w:szCs w:val="28"/>
          <w:lang w:val="uk-UA" w:eastAsia="en-US"/>
        </w:rPr>
        <w:t xml:space="preserve"> надали медикаментів на суму 85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195 тис. 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ГО «Віра, Надія, Любов»</w:t>
      </w:r>
      <w:r>
        <w:rPr>
          <w:rFonts w:eastAsia="Calibri"/>
          <w:sz w:val="28"/>
          <w:szCs w:val="28"/>
          <w:lang w:val="uk-UA" w:eastAsia="en-US"/>
        </w:rPr>
        <w:t xml:space="preserve"> – самостійний тест на ВІЛ на суму 4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122,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u w:val="single"/>
          <w:lang w:val="uk-UA" w:eastAsia="en-US"/>
        </w:rPr>
        <w:t xml:space="preserve">Благодійна організація «Благодійний фонд «Співдія»</w:t>
      </w:r>
      <w:r>
        <w:rPr>
          <w:rFonts w:eastAsia="Calibri"/>
          <w:sz w:val="28"/>
          <w:szCs w:val="28"/>
          <w:lang w:val="uk-UA" w:eastAsia="en-US"/>
        </w:rPr>
        <w:t xml:space="preserve">: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</w:t>
      </w:r>
      <w:r>
        <w:rPr>
          <w:rFonts w:eastAsia="Calibri"/>
          <w:sz w:val="28"/>
          <w:szCs w:val="28"/>
          <w:lang w:val="uk-UA" w:eastAsia="en-US"/>
        </w:rPr>
        <w:t xml:space="preserve">омп’ютерна техніка на суму 76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606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Набір д</w:t>
      </w:r>
      <w:r>
        <w:rPr>
          <w:rFonts w:eastAsia="Calibri"/>
          <w:sz w:val="28"/>
          <w:szCs w:val="28"/>
          <w:lang w:val="uk-UA" w:eastAsia="en-US"/>
        </w:rPr>
        <w:t xml:space="preserve">ля </w:t>
      </w:r>
      <w:r>
        <w:rPr>
          <w:rFonts w:eastAsia="Calibri"/>
          <w:sz w:val="28"/>
          <w:szCs w:val="28"/>
          <w:lang w:val="uk-UA" w:eastAsia="en-US"/>
        </w:rPr>
        <w:t xml:space="preserve">медсестри </w:t>
      </w:r>
      <w:r>
        <w:rPr>
          <w:rFonts w:eastAsia="Calibri"/>
          <w:sz w:val="28"/>
          <w:szCs w:val="28"/>
          <w:lang w:val="uk-UA" w:eastAsia="en-US"/>
        </w:rPr>
        <w:t xml:space="preserve">8 шт. </w:t>
      </w:r>
      <w:r>
        <w:rPr>
          <w:rFonts w:eastAsia="Calibri"/>
          <w:sz w:val="28"/>
          <w:szCs w:val="28"/>
          <w:lang w:val="uk-UA" w:eastAsia="en-US"/>
        </w:rPr>
        <w:t xml:space="preserve">на суму 45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816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b/>
          <w:bCs/>
          <w:i/>
          <w:iCs/>
          <w:sz w:val="16"/>
          <w:szCs w:val="16"/>
          <w:lang w:val="uk-UA" w:eastAsia="en-US"/>
        </w:rPr>
      </w:pPr>
      <w:r>
        <w:rPr>
          <w:rFonts w:eastAsia="Calibri"/>
          <w:b/>
          <w:bCs/>
          <w:i/>
          <w:iCs/>
          <w:sz w:val="16"/>
          <w:szCs w:val="16"/>
          <w:lang w:val="uk-UA" w:eastAsia="en-US"/>
        </w:rPr>
      </w:r>
      <w:r>
        <w:rPr>
          <w:rFonts w:eastAsia="Calibri"/>
          <w:b/>
          <w:bCs/>
          <w:i/>
          <w:iCs/>
          <w:sz w:val="16"/>
          <w:szCs w:val="16"/>
          <w:lang w:val="uk-UA" w:eastAsia="en-US"/>
        </w:rPr>
      </w:r>
      <w:r>
        <w:rPr>
          <w:rFonts w:eastAsia="Calibri"/>
          <w:b/>
          <w:bCs/>
          <w:i/>
          <w:iCs/>
          <w:sz w:val="16"/>
          <w:szCs w:val="16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center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Касові видатки 2025 року</w:t>
      </w:r>
      <w:r>
        <w:rPr>
          <w:rFonts w:eastAsia="Calibri"/>
          <w:sz w:val="28"/>
          <w:szCs w:val="28"/>
          <w:lang w:val="uk-UA" w:eastAsia="en-US"/>
        </w:rPr>
        <w:t xml:space="preserve"> склали 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26 982,9 тис. грн.</w:t>
      </w:r>
      <w:r>
        <w:rPr>
          <w:rFonts w:eastAsia="Calibri"/>
          <w:sz w:val="28"/>
          <w:szCs w:val="28"/>
          <w:lang w:val="uk-UA" w:eastAsia="en-US"/>
        </w:rPr>
        <w:t xml:space="preserve">. З них: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center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numPr>
          <w:ilvl w:val="0"/>
          <w:numId w:val="14"/>
        </w:numPr>
        <w:pBdr/>
        <w:spacing w:after="160" w:line="259" w:lineRule="auto"/>
        <w:ind w:firstLine="567" w:left="0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на заробітну плату – 20 783,0 тис. грн – 77,02%;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numPr>
          <w:ilvl w:val="0"/>
          <w:numId w:val="14"/>
        </w:numPr>
        <w:pBdr/>
        <w:spacing w:after="160" w:line="259" w:lineRule="auto"/>
        <w:ind w:firstLine="567" w:left="0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оплата </w:t>
      </w:r>
      <w:r>
        <w:rPr>
          <w:rFonts w:eastAsia="Calibri"/>
          <w:sz w:val="28"/>
          <w:szCs w:val="28"/>
          <w:lang w:val="uk-UA" w:eastAsia="en-US"/>
        </w:rPr>
        <w:t xml:space="preserve">енергоносії</w:t>
      </w:r>
      <w:r>
        <w:rPr>
          <w:rFonts w:eastAsia="Calibri"/>
          <w:sz w:val="28"/>
          <w:szCs w:val="28"/>
          <w:lang w:val="uk-UA" w:eastAsia="en-US"/>
        </w:rPr>
        <w:t xml:space="preserve">в</w:t>
      </w:r>
      <w:r>
        <w:rPr>
          <w:rFonts w:eastAsia="Calibri"/>
          <w:sz w:val="28"/>
          <w:szCs w:val="28"/>
          <w:lang w:val="uk-UA" w:eastAsia="en-US"/>
        </w:rPr>
        <w:t xml:space="preserve"> – 969,2 тис. грн – 3,59%;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numPr>
          <w:ilvl w:val="0"/>
          <w:numId w:val="14"/>
        </w:numPr>
        <w:pBdr/>
        <w:spacing w:after="160" w:line="259" w:lineRule="auto"/>
        <w:ind w:firstLine="567" w:left="0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придбання медикаментів, деззасобів, витратних матеріалів – 705,1 тис. грн. – 2,61%;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numPr>
          <w:ilvl w:val="0"/>
          <w:numId w:val="14"/>
        </w:numPr>
        <w:pBdr/>
        <w:spacing w:after="160" w:line="259" w:lineRule="auto"/>
        <w:ind w:firstLine="567" w:left="0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капітальні видатки на придбання обладнання та капітальні ремонти – 3016,9 тис. грн. – 11,18%;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numPr>
          <w:ilvl w:val="0"/>
          <w:numId w:val="14"/>
        </w:numPr>
        <w:pBdr/>
        <w:spacing w:after="160" w:line="259" w:lineRule="auto"/>
        <w:ind w:firstLine="567" w:left="0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на інші видатки  1 508,7тис. грн. – 5,59%.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 w:left="77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jc w:val="center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Фінансовий результат за 2025 рік </w:t>
      </w:r>
      <w:r>
        <w:rPr>
          <w:rFonts w:eastAsia="Calibri"/>
          <w:sz w:val="28"/>
          <w:szCs w:val="28"/>
          <w:lang w:val="uk-UA" w:eastAsia="en-US"/>
        </w:rPr>
        <w:t xml:space="preserve">«+» 749,5 тис. 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jc w:val="both"/>
        <w:rPr>
          <w:rFonts w:eastAsia="Calibri"/>
          <w:b/>
          <w:bCs/>
          <w:i/>
          <w:iCs/>
          <w:sz w:val="28"/>
          <w:szCs w:val="28"/>
          <w:lang w:val="uk-UA" w:eastAsia="en-US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Кредиторська заборгованість</w:t>
      </w:r>
      <w:r>
        <w:rPr>
          <w:rFonts w:eastAsia="Calibri"/>
          <w:sz w:val="28"/>
          <w:szCs w:val="28"/>
          <w:lang w:val="uk-UA" w:eastAsia="en-US"/>
        </w:rPr>
        <w:t xml:space="preserve"> становить 13,1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 інша заборгованість. Енергоносії та заробітна плата сплачені повністю.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Витрати із консолідованого бюджету у розрахунку на 1 жителя становлять 972 грн.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Посадові оклади</w:t>
      </w:r>
      <w:r>
        <w:rPr>
          <w:rFonts w:eastAsia="Calibri"/>
          <w:bCs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працівників по категоріях в 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році </w:t>
      </w:r>
      <w:r>
        <w:rPr>
          <w:rFonts w:eastAsia="Calibri"/>
          <w:sz w:val="28"/>
          <w:szCs w:val="28"/>
          <w:lang w:val="uk-UA" w:eastAsia="en-US"/>
        </w:rPr>
        <w:t xml:space="preserve">у </w:t>
      </w:r>
      <w:r>
        <w:rPr>
          <w:rFonts w:eastAsia="Calibri"/>
          <w:sz w:val="28"/>
          <w:szCs w:val="28"/>
          <w:lang w:val="uk-UA" w:eastAsia="en-US"/>
        </w:rPr>
        <w:t xml:space="preserve">порівнянні з 202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роком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дещо</w:t>
      </w:r>
      <w:r>
        <w:rPr>
          <w:rFonts w:eastAsia="Calibri"/>
          <w:sz w:val="28"/>
          <w:szCs w:val="28"/>
          <w:lang w:val="uk-UA" w:eastAsia="en-US"/>
        </w:rPr>
        <w:t xml:space="preserve"> підвищ</w:t>
      </w:r>
      <w:r>
        <w:rPr>
          <w:rFonts w:eastAsia="Calibri"/>
          <w:sz w:val="28"/>
          <w:szCs w:val="28"/>
          <w:lang w:val="uk-UA" w:eastAsia="en-US"/>
        </w:rPr>
        <w:t xml:space="preserve">ились у зв’язку з укладанням нового Колективного договору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  <w:r>
        <w:rPr>
          <w:rFonts w:eastAsia="Calibri"/>
          <w:sz w:val="28"/>
          <w:szCs w:val="28"/>
          <w:lang w:val="uk-UA" w:eastAsia="en-US"/>
        </w:rPr>
        <w:t xml:space="preserve">Заробітна плата виплачувалась виключно з коштів,</w:t>
      </w:r>
      <w:r>
        <w:rPr>
          <w:rFonts w:eastAsia="Calibri"/>
          <w:sz w:val="28"/>
          <w:szCs w:val="28"/>
          <w:lang w:val="uk-UA" w:eastAsia="en-US"/>
        </w:rPr>
        <w:t xml:space="preserve"> отрима</w:t>
      </w:r>
      <w:r>
        <w:rPr>
          <w:rFonts w:eastAsia="Calibri"/>
          <w:sz w:val="28"/>
          <w:szCs w:val="28"/>
          <w:lang w:val="uk-UA" w:eastAsia="en-US"/>
        </w:rPr>
        <w:t xml:space="preserve">них</w:t>
      </w:r>
      <w:r>
        <w:rPr>
          <w:rFonts w:eastAsia="Calibri"/>
          <w:sz w:val="28"/>
          <w:szCs w:val="28"/>
          <w:lang w:val="uk-UA" w:eastAsia="en-US"/>
        </w:rPr>
        <w:t xml:space="preserve"> від НЗСУ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місцевого бюджету на 2025 рік було затверджено кошторис на 4794,5 тис. грн. та профінансовано 4707,04 тис. грн. по наступних програмах: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Комплексної програми підтримки та розвитку медичної допомоги, яка надається в Менській міській територіальній громаді, на 2025-2027 роки– 4522,5 тис. грн., з яких профінансовано – 4437,68 тис. грн.;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Програма підтримки розвитку первинної медичної допомоги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період 2025 - 2028 років (по Березнянській ТГ)-272,0 тис. грн, з яких профінансовано -269,36 тис. грн..;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Програма забезпечення медичних закладів Менської міської територіальної громади медичними кадрами на 2022 – 2026 роки -  134,8 тис. 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highlight w:val="yellow"/>
          <w:lang w:val="uk-UA"/>
        </w:rPr>
        <w:t xml:space="preserve"> </w:t>
      </w:r>
      <w:r>
        <w:rPr>
          <w:sz w:val="16"/>
          <w:szCs w:val="16"/>
          <w:lang w:val="uk-UA"/>
        </w:rPr>
      </w:r>
      <w:r>
        <w:rPr>
          <w:sz w:val="16"/>
          <w:szCs w:val="16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Кошти місцевого бюджету</w:t>
      </w:r>
      <w:r>
        <w:rPr>
          <w:sz w:val="28"/>
          <w:szCs w:val="28"/>
          <w:lang w:val="uk-UA"/>
        </w:rPr>
        <w:t xml:space="preserve">, в сумі 4707,04 тис. грн. витрачені: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    2967,68 тис. грн. 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капітальний ремонт покрівлі в Менській ЛА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436,33 тис. грн. на медикаменти для пільгових категорій населення, технічні засоби (калоприймачі</w:t>
      </w:r>
      <w:r>
        <w:rPr>
          <w:rFonts w:eastAsia="Calibri"/>
          <w:sz w:val="28"/>
          <w:szCs w:val="28"/>
          <w:lang w:val="uk-UA" w:eastAsia="en-US"/>
        </w:rPr>
        <w:t xml:space="preserve"> – 11,82 тис. грн.</w:t>
      </w:r>
      <w:r>
        <w:rPr>
          <w:rFonts w:eastAsia="Calibri"/>
          <w:sz w:val="28"/>
          <w:szCs w:val="28"/>
          <w:lang w:val="uk-UA" w:eastAsia="en-US"/>
        </w:rPr>
        <w:t xml:space="preserve"> та памперси для</w:t>
      </w:r>
      <w:r>
        <w:rPr>
          <w:rFonts w:eastAsia="Calibri"/>
          <w:sz w:val="28"/>
          <w:szCs w:val="28"/>
          <w:lang w:val="uk-UA" w:eastAsia="en-US"/>
        </w:rPr>
        <w:t xml:space="preserve"> людей з інвалідністю</w:t>
      </w:r>
      <w:r>
        <w:rPr>
          <w:rFonts w:eastAsia="Calibri"/>
          <w:sz w:val="28"/>
          <w:szCs w:val="28"/>
          <w:lang w:val="uk-UA" w:eastAsia="en-US"/>
        </w:rPr>
        <w:t xml:space="preserve">), з них по Менській ТГ- 371,88 тис. грн., та по Березнянській ТГ – 64,45 тис. грн.;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  11,82 тис. грн. на закупівлю монітора пацієнта </w:t>
      </w:r>
      <w:r>
        <w:rPr>
          <w:rFonts w:eastAsia="Calibri"/>
          <w:sz w:val="28"/>
          <w:szCs w:val="28"/>
          <w:lang w:val="uk-UA" w:eastAsia="en-US"/>
        </w:rPr>
        <w:t xml:space="preserve"> АВРМ </w:t>
      </w:r>
      <w:r>
        <w:rPr>
          <w:rFonts w:eastAsia="Calibri"/>
          <w:sz w:val="28"/>
          <w:szCs w:val="28"/>
          <w:lang w:val="uk-UA" w:eastAsia="en-US"/>
        </w:rPr>
        <w:t xml:space="preserve">для Менської ЛА;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1064,94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 грн.  на оплату енергоносіїв та послуг (</w:t>
      </w:r>
      <w:r>
        <w:rPr>
          <w:rFonts w:eastAsia="Calibri"/>
          <w:sz w:val="28"/>
          <w:szCs w:val="28"/>
          <w:lang w:val="uk-UA" w:eastAsia="en-US"/>
        </w:rPr>
        <w:t xml:space="preserve">теплопостачання та оплата праці опалювачів</w:t>
      </w:r>
      <w:r>
        <w:rPr>
          <w:rFonts w:eastAsia="Calibri"/>
          <w:sz w:val="28"/>
          <w:szCs w:val="28"/>
          <w:lang w:val="uk-UA" w:eastAsia="en-US"/>
        </w:rPr>
        <w:t xml:space="preserve">): з них по Менській ТГ</w:t>
      </w:r>
      <w:r>
        <w:rPr>
          <w:rFonts w:eastAsia="Calibri"/>
          <w:sz w:val="28"/>
          <w:szCs w:val="28"/>
          <w:lang w:val="uk-UA" w:eastAsia="en-US"/>
        </w:rPr>
        <w:t xml:space="preserve"> 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902,74 тис. грн.,</w:t>
      </w:r>
      <w: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в т. ч. 32,37 тис. грн. на закупівлю бензину для роботи генераторів, та по Березнянській ТГ – 162,2 тис. грн.;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139,8 тис. грн.</w:t>
      </w:r>
      <w:r>
        <w:rPr>
          <w:rFonts w:eastAsia="Calibri"/>
          <w:sz w:val="28"/>
          <w:szCs w:val="28"/>
          <w:lang w:val="uk-UA" w:eastAsia="en-US"/>
        </w:rPr>
        <w:t xml:space="preserve"> 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 виплачено як річні та заохочувальні премії;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37,7 тис. грн. на закупівлю 2 од. ноутбуків для Березнянської ЛА ЗПСМ;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      7,4 тис. грн. на закупівлю бочок за кошти Менської ТГ;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      41,4 тис. грн. на закупівлю бензину за кошти Менської ТГ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16"/>
          <w:szCs w:val="16"/>
          <w:lang w:val="uk-UA" w:eastAsia="en-US"/>
        </w:rPr>
      </w:pP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b/>
          <w:bCs/>
          <w:sz w:val="28"/>
          <w:szCs w:val="28"/>
          <w:lang w:val="uk-UA" w:eastAsia="en-US"/>
        </w:rPr>
        <w:t xml:space="preserve">За кошти НЗСУ</w:t>
      </w:r>
      <w:r>
        <w:rPr>
          <w:rFonts w:eastAsia="Calibri"/>
          <w:sz w:val="28"/>
          <w:szCs w:val="28"/>
          <w:lang w:val="uk-UA" w:eastAsia="en-US"/>
        </w:rPr>
        <w:t xml:space="preserve"> для Менської ЛА було пр</w:t>
      </w:r>
      <w:r>
        <w:rPr>
          <w:rFonts w:eastAsia="Calibri"/>
          <w:sz w:val="28"/>
          <w:szCs w:val="28"/>
          <w:lang w:val="uk-UA" w:eastAsia="en-US"/>
        </w:rPr>
        <w:t xml:space="preserve">идбано</w:t>
      </w:r>
      <w:r>
        <w:rPr>
          <w:rFonts w:eastAsia="Calibri"/>
          <w:sz w:val="28"/>
          <w:szCs w:val="28"/>
          <w:lang w:val="uk-UA" w:eastAsia="en-US"/>
        </w:rPr>
        <w:t xml:space="preserve">: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</w:r>
      <w:r>
        <w:rPr>
          <w:rFonts w:eastAsia="Calibri"/>
          <w:sz w:val="28"/>
          <w:szCs w:val="28"/>
          <w:lang w:val="uk-UA" w:eastAsia="en-US"/>
        </w:rPr>
        <w:t xml:space="preserve">П</w:t>
      </w:r>
      <w:r>
        <w:rPr>
          <w:rFonts w:eastAsia="Calibri"/>
          <w:sz w:val="28"/>
          <w:szCs w:val="28"/>
          <w:lang w:val="uk-UA" w:eastAsia="en-US"/>
        </w:rPr>
        <w:t xml:space="preserve">ральна машина «INDEZIT»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10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500 тис.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промінювачі бактерицидні ОБР-6  </w:t>
      </w:r>
      <w:r>
        <w:rPr>
          <w:rFonts w:eastAsia="Calibri"/>
          <w:sz w:val="28"/>
          <w:szCs w:val="28"/>
          <w:lang w:val="uk-UA" w:eastAsia="en-US"/>
        </w:rPr>
        <w:t xml:space="preserve">2 шт.</w:t>
      </w:r>
      <w:r>
        <w:rPr>
          <w:rFonts w:eastAsia="Calibri"/>
          <w:sz w:val="28"/>
          <w:szCs w:val="28"/>
          <w:lang w:val="uk-UA" w:eastAsia="en-US"/>
        </w:rPr>
        <w:t xml:space="preserve"> – </w:t>
      </w:r>
      <w:r>
        <w:rPr>
          <w:rFonts w:eastAsia="Calibri"/>
          <w:sz w:val="28"/>
          <w:szCs w:val="28"/>
          <w:lang w:val="uk-UA" w:eastAsia="en-US"/>
        </w:rPr>
        <w:t xml:space="preserve"> 10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298 тис.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Монітор Philips – 6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650 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</w:t>
      </w:r>
      <w:r>
        <w:rPr>
          <w:rFonts w:eastAsia="Calibri"/>
          <w:sz w:val="28"/>
          <w:szCs w:val="28"/>
          <w:lang w:val="uk-UA" w:eastAsia="en-US"/>
        </w:rPr>
        <w:t xml:space="preserve">.;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Кондиціонери 4 шт. – 63,699 тис. грн.;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В</w:t>
      </w:r>
      <w:r>
        <w:rPr>
          <w:rFonts w:eastAsia="Calibri"/>
          <w:sz w:val="28"/>
          <w:szCs w:val="28"/>
          <w:lang w:val="uk-UA" w:eastAsia="en-US"/>
        </w:rPr>
        <w:t xml:space="preserve">ізки для прибирання в Менській ЛА </w:t>
      </w:r>
      <w:r>
        <w:rPr>
          <w:rFonts w:eastAsia="Calibri"/>
          <w:sz w:val="28"/>
          <w:szCs w:val="28"/>
          <w:lang w:val="uk-UA" w:eastAsia="en-US"/>
        </w:rPr>
        <w:t xml:space="preserve"> 2 шт. – 32,080 грн,;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П</w:t>
      </w:r>
      <w:r>
        <w:rPr>
          <w:rFonts w:eastAsia="Calibri"/>
          <w:sz w:val="28"/>
          <w:szCs w:val="28"/>
          <w:lang w:val="uk-UA" w:eastAsia="en-US"/>
        </w:rPr>
        <w:t xml:space="preserve">роводились послуги з інженерного проектування для капітального ремонту покрівлі, з метою перерахунку кошторисної документації в поточні ціни на суму 21,2 тис. грн.,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Проводилась закупівля бензину, медикаментів, засобів дезінфекції, виробів медичного призначення (серветки, пробірки, тести, тримачі і т.д), поточні ремонти, сплачувались некомунальні послуги ( телефон, інтернет, програми</w:t>
      </w:r>
      <w:r>
        <w:rPr>
          <w:lang w:val="uk-UA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кабінету замовника, навчання), лабораторні дослідження, ремонти медичного та іншого обладнання, ремонт автомобілів, страхування та інші витрати необхідні для безперебійної роботи підприємства.</w:t>
      </w: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</w:r>
    </w:p>
    <w:p>
      <w:pPr>
        <w:pStyle w:val="920"/>
        <w:pBdr/>
        <w:spacing w:after="160" w:line="259" w:lineRule="auto"/>
        <w:ind w:firstLine="567"/>
        <w:contextualSpacing w:val="true"/>
        <w:jc w:val="both"/>
        <w:rPr>
          <w:rFonts w:eastAsia="Calibri"/>
          <w:sz w:val="16"/>
          <w:szCs w:val="16"/>
          <w:lang w:val="uk-UA" w:eastAsia="en-US"/>
        </w:rPr>
      </w:pP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  <w:r>
        <w:rPr>
          <w:rFonts w:eastAsia="Calibri"/>
          <w:sz w:val="16"/>
          <w:szCs w:val="16"/>
          <w:lang w:val="uk-UA" w:eastAsia="en-US"/>
        </w:rPr>
      </w:r>
    </w:p>
    <w:p>
      <w:pPr>
        <w:pStyle w:val="920"/>
        <w:pBdr/>
        <w:spacing/>
        <w:ind w:firstLine="567"/>
        <w:jc w:val="both"/>
        <w:rPr>
          <w:rFonts w:eastAsia="Calibri"/>
          <w:sz w:val="28"/>
          <w:szCs w:val="28"/>
          <w:highlight w:val="none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За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платні послуги</w:t>
      </w:r>
      <w:r>
        <w:rPr>
          <w:rFonts w:eastAsia="Calibri"/>
          <w:sz w:val="28"/>
          <w:szCs w:val="28"/>
          <w:lang w:val="uk-UA" w:eastAsia="en-US"/>
        </w:rPr>
        <w:t xml:space="preserve"> закуплено бланки, проведено навчання та куплено запчастини до автомобіля на загальну суму 13,5 тис.грн.</w:t>
      </w:r>
      <w:r>
        <w:rPr>
          <w:rFonts w:eastAsia="Calibri"/>
          <w:sz w:val="28"/>
          <w:szCs w:val="28"/>
          <w:highlight w:val="none"/>
          <w:lang w:val="uk-UA" w:eastAsia="en-US"/>
        </w:rPr>
      </w:r>
      <w:r>
        <w:rPr>
          <w:rFonts w:eastAsia="Calibri"/>
          <w:sz w:val="28"/>
          <w:szCs w:val="28"/>
          <w:highlight w:val="none"/>
          <w:lang w:val="uk-UA" w:eastAsia="en-US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highlight w:val="none"/>
          <w:lang w:val="uk-UA" w:eastAsia="en-US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 w:after="160" w:line="259" w:lineRule="auto"/>
        <w:ind w:firstLine="567"/>
        <w:jc w:val="both"/>
        <w:rPr>
          <w:b/>
          <w:sz w:val="16"/>
          <w:szCs w:val="16"/>
          <w:lang w:val="uk-UA"/>
        </w:rPr>
      </w:pPr>
      <w:r>
        <w:rPr>
          <w:b/>
          <w:sz w:val="16"/>
          <w:szCs w:val="16"/>
          <w:lang w:val="uk-UA"/>
        </w:rPr>
      </w:r>
      <w:r>
        <w:rPr>
          <w:b/>
          <w:sz w:val="16"/>
          <w:szCs w:val="16"/>
          <w:lang w:val="uk-UA"/>
        </w:rPr>
      </w:r>
      <w:r>
        <w:rPr>
          <w:b/>
          <w:sz w:val="16"/>
          <w:szCs w:val="16"/>
          <w:lang w:val="uk-UA"/>
        </w:rPr>
      </w:r>
    </w:p>
    <w:p>
      <w:pPr>
        <w:pStyle w:val="920"/>
        <w:pBdr/>
        <w:spacing w:after="160" w:line="259" w:lineRule="auto"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Проблемні питання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20"/>
        <w:widowControl w:val="false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Кадрове забезпечення: </w:t>
      </w:r>
      <w:r>
        <w:rPr>
          <w:sz w:val="28"/>
          <w:szCs w:val="28"/>
          <w:lang w:val="uk-UA"/>
        </w:rPr>
        <w:t xml:space="preserve">серед лікарів особи пенсійного віку </w:t>
      </w:r>
      <w:r>
        <w:rPr>
          <w:sz w:val="28"/>
          <w:szCs w:val="28"/>
          <w:lang w:val="uk-UA"/>
        </w:rPr>
        <w:t xml:space="preserve">становлять  </w:t>
      </w:r>
      <w:r>
        <w:rPr>
          <w:sz w:val="28"/>
          <w:szCs w:val="28"/>
          <w:lang w:val="uk-UA"/>
        </w:rPr>
        <w:t xml:space="preserve">52,0</w:t>
      </w:r>
      <w:r>
        <w:rPr>
          <w:sz w:val="28"/>
          <w:szCs w:val="28"/>
          <w:lang w:val="uk-UA"/>
        </w:rPr>
        <w:t xml:space="preserve">%.</w:t>
      </w:r>
      <w:r>
        <w:rPr>
          <w:sz w:val="28"/>
          <w:szCs w:val="28"/>
          <w:lang w:val="uk-UA"/>
        </w:rPr>
        <w:t xml:space="preserve"> Вакантна </w:t>
      </w:r>
      <w:r>
        <w:rPr>
          <w:sz w:val="28"/>
          <w:szCs w:val="28"/>
          <w:lang w:val="uk-UA"/>
        </w:rPr>
        <w:t xml:space="preserve">посада лікаря загальної практики-сімейного лікаря  </w:t>
      </w:r>
      <w:r>
        <w:rPr>
          <w:sz w:val="28"/>
          <w:szCs w:val="28"/>
          <w:lang w:val="uk-UA"/>
        </w:rPr>
        <w:t xml:space="preserve">Стольненської  сільської  лікарської</w:t>
      </w:r>
      <w:r>
        <w:rPr>
          <w:sz w:val="28"/>
          <w:szCs w:val="28"/>
          <w:lang w:val="uk-UA"/>
        </w:rPr>
        <w:t xml:space="preserve"> амбулат</w:t>
      </w:r>
      <w:r>
        <w:rPr>
          <w:sz w:val="28"/>
          <w:szCs w:val="28"/>
          <w:lang w:val="uk-UA"/>
        </w:rPr>
        <w:t xml:space="preserve">орії</w:t>
      </w:r>
      <w:r>
        <w:rPr>
          <w:sz w:val="28"/>
          <w:szCs w:val="28"/>
          <w:lang w:val="uk-UA"/>
        </w:rPr>
        <w:t xml:space="preserve"> загальної практики</w:t>
      </w: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сімейної медицини.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 xml:space="preserve">Встановлення протипожежної сигналізації в будівлі Менської амбулаторії.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Необхідність придбання портативного цифрового рентгенапарату для обстеження сільського населення під час виїздів сімейних лікарів.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Необхідність придбання 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автотранспортн</w:t>
      </w:r>
      <w:r>
        <w:rPr>
          <w:sz w:val="28"/>
          <w:szCs w:val="28"/>
          <w:lang w:val="uk-UA"/>
        </w:rPr>
        <w:t xml:space="preserve">их</w:t>
      </w:r>
      <w:r>
        <w:rPr>
          <w:sz w:val="28"/>
          <w:szCs w:val="28"/>
          <w:lang w:val="uk-UA"/>
        </w:rPr>
        <w:t xml:space="preserve"> засоб</w:t>
      </w:r>
      <w:r>
        <w:rPr>
          <w:sz w:val="28"/>
          <w:szCs w:val="28"/>
          <w:lang w:val="uk-UA"/>
        </w:rPr>
        <w:t xml:space="preserve">ів</w:t>
      </w:r>
      <w:r>
        <w:rPr>
          <w:sz w:val="28"/>
          <w:szCs w:val="28"/>
          <w:lang w:val="uk-UA"/>
        </w:rPr>
        <w:t xml:space="preserve"> (повнопривідн</w:t>
      </w:r>
      <w:r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автомобіл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) для потреб амбулаторі</w:t>
      </w:r>
      <w:r>
        <w:rPr>
          <w:sz w:val="28"/>
          <w:szCs w:val="28"/>
          <w:lang w:val="uk-UA"/>
        </w:rPr>
        <w:t xml:space="preserve">й</w:t>
      </w:r>
      <w:r>
        <w:rPr>
          <w:sz w:val="28"/>
          <w:szCs w:val="28"/>
          <w:lang w:val="uk-UA"/>
        </w:rPr>
        <w:t xml:space="preserve"> (Менської ЛА та Макошинської ЛА ЗПСМ)</w:t>
      </w:r>
      <w:r>
        <w:rPr>
          <w:sz w:val="28"/>
          <w:szCs w:val="28"/>
          <w:lang w:val="uk-UA"/>
        </w:rPr>
        <w:t xml:space="preserve">, оскільки наявн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 авто використали свій ресурс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20"/>
        <w:pBdr/>
        <w:spacing w:after="160" w:line="259" w:lineRule="auto"/>
        <w:ind w:firstLine="567"/>
        <w:jc w:val="both"/>
        <w:rPr>
          <w:sz w:val="2"/>
          <w:szCs w:val="2"/>
          <w:lang w:val="uk-UA"/>
        </w:rPr>
      </w:pPr>
      <w:r>
        <w:rPr>
          <w:sz w:val="2"/>
          <w:szCs w:val="2"/>
          <w:lang w:val="uk-UA"/>
        </w:rPr>
      </w:r>
      <w:r>
        <w:rPr>
          <w:sz w:val="2"/>
          <w:szCs w:val="2"/>
          <w:lang w:val="uk-UA"/>
        </w:rPr>
      </w:r>
      <w:r>
        <w:rPr>
          <w:sz w:val="2"/>
          <w:szCs w:val="2"/>
          <w:lang w:val="uk-UA"/>
        </w:rPr>
      </w:r>
    </w:p>
    <w:p>
      <w:pPr>
        <w:pStyle w:val="920"/>
        <w:pBdr/>
        <w:spacing w:after="160" w:line="259" w:lineRule="auto"/>
        <w:ind w:firstLine="567"/>
        <w:jc w:val="both"/>
        <w:rPr>
          <w:rFonts w:eastAsia="Calibri"/>
          <w:b/>
          <w:bCs/>
          <w:sz w:val="16"/>
          <w:szCs w:val="16"/>
          <w:lang w:val="uk-UA" w:eastAsia="en-US"/>
        </w:rPr>
      </w:pPr>
      <w:r>
        <w:rPr>
          <w:rFonts w:eastAsia="Calibri"/>
          <w:b/>
          <w:bCs/>
          <w:sz w:val="16"/>
          <w:szCs w:val="16"/>
          <w:lang w:val="uk-UA" w:eastAsia="en-US"/>
        </w:rPr>
      </w:r>
      <w:r>
        <w:rPr>
          <w:rFonts w:eastAsia="Calibri"/>
          <w:b/>
          <w:bCs/>
          <w:sz w:val="16"/>
          <w:szCs w:val="16"/>
          <w:lang w:val="uk-UA" w:eastAsia="en-US"/>
        </w:rPr>
      </w:r>
      <w:r>
        <w:rPr>
          <w:rFonts w:eastAsia="Calibri"/>
          <w:b/>
          <w:bCs/>
          <w:sz w:val="16"/>
          <w:szCs w:val="16"/>
          <w:lang w:val="uk-UA" w:eastAsia="en-US"/>
        </w:rPr>
      </w:r>
    </w:p>
    <w:p>
      <w:pPr>
        <w:pStyle w:val="920"/>
        <w:pBdr/>
        <w:spacing w:after="160" w:line="259" w:lineRule="auto"/>
        <w:ind/>
        <w:jc w:val="both"/>
        <w:rPr>
          <w:rFonts w:eastAsia="Calibri"/>
          <w:b w:val="0"/>
          <w:bCs w:val="0"/>
          <w:sz w:val="28"/>
          <w:szCs w:val="28"/>
          <w:lang w:val="uk-UA" w:eastAsia="en-US"/>
        </w:rPr>
      </w:pPr>
      <w:r>
        <w:rPr>
          <w:rFonts w:eastAsia="Calibri"/>
          <w:b w:val="0"/>
          <w:bCs w:val="0"/>
          <w:sz w:val="28"/>
          <w:szCs w:val="28"/>
          <w:lang w:val="uk-UA" w:eastAsia="en-US"/>
        </w:rPr>
        <w:t xml:space="preserve">Генеральний директор</w:t>
      </w:r>
      <w:r>
        <w:rPr>
          <w:rFonts w:eastAsia="Calibri"/>
          <w:b w:val="0"/>
          <w:bCs w:val="0"/>
          <w:sz w:val="28"/>
          <w:szCs w:val="28"/>
          <w:lang w:val="uk-UA" w:eastAsia="en-US"/>
        </w:rPr>
        <w:t xml:space="preserve">                                           </w:t>
      </w:r>
      <w:r>
        <w:rPr>
          <w:rFonts w:eastAsia="Calibri"/>
          <w:b w:val="0"/>
          <w:bCs w:val="0"/>
          <w:sz w:val="28"/>
          <w:szCs w:val="28"/>
          <w:lang w:val="uk-UA" w:eastAsia="en-US"/>
        </w:rPr>
        <w:t xml:space="preserve">  </w:t>
      </w:r>
      <w:r>
        <w:rPr>
          <w:rFonts w:eastAsia="Calibri"/>
          <w:b w:val="0"/>
          <w:bCs w:val="0"/>
          <w:sz w:val="28"/>
          <w:szCs w:val="28"/>
          <w:lang w:val="uk-UA" w:eastAsia="en-US"/>
        </w:rPr>
        <w:t xml:space="preserve">    </w:t>
      </w:r>
      <w:r>
        <w:rPr>
          <w:rFonts w:eastAsia="Calibri"/>
          <w:b w:val="0"/>
          <w:bCs w:val="0"/>
          <w:sz w:val="28"/>
          <w:szCs w:val="28"/>
          <w:lang w:val="uk-UA" w:eastAsia="en-US"/>
        </w:rPr>
        <w:t xml:space="preserve">    </w:t>
      </w:r>
      <w:r>
        <w:rPr>
          <w:rFonts w:eastAsia="Calibri"/>
          <w:b w:val="0"/>
          <w:bCs w:val="0"/>
          <w:sz w:val="28"/>
          <w:szCs w:val="28"/>
          <w:lang w:val="uk-UA" w:eastAsia="en-US"/>
        </w:rPr>
        <w:t xml:space="preserve">    Наталія </w:t>
      </w:r>
      <w:r>
        <w:rPr>
          <w:rFonts w:eastAsia="Calibri"/>
          <w:b w:val="0"/>
          <w:bCs w:val="0"/>
          <w:sz w:val="28"/>
          <w:szCs w:val="28"/>
          <w:lang w:val="uk-UA" w:eastAsia="en-US"/>
        </w:rPr>
        <w:t xml:space="preserve">РОСОМАХА</w:t>
      </w:r>
      <w:r>
        <w:rPr>
          <w:rFonts w:eastAsia="Calibri"/>
          <w:b w:val="0"/>
          <w:bCs w:val="0"/>
          <w:sz w:val="28"/>
          <w:szCs w:val="28"/>
          <w:lang w:val="uk-UA" w:eastAsia="en-US"/>
        </w:rPr>
      </w:r>
      <w:r>
        <w:rPr>
          <w:rFonts w:eastAsia="Calibri"/>
          <w:b w:val="0"/>
          <w:bCs w:val="0"/>
          <w:sz w:val="28"/>
          <w:szCs w:val="28"/>
          <w:lang w:val="uk-UA" w:eastAsia="en-US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pBdr/>
      <w:spacing/>
      <w:ind/>
      <w:jc w:val="right"/>
      <w:rPr>
        <w:bCs/>
        <w:i/>
      </w:rPr>
    </w:pPr>
    <w:fldSimple w:instr="PAGE \* MERGEFORMAT">
      <w:r>
        <w:rPr>
          <w:i/>
          <w:iCs/>
        </w:rPr>
        <w:t xml:space="preserve">1</w:t>
      </w:r>
    </w:fldSimple>
    <w:r>
      <w:rPr>
        <w:i/>
        <w:iCs/>
      </w:rPr>
    </w:r>
    <w:r>
      <w:rPr>
        <w:i/>
        <w:iCs/>
      </w:rPr>
      <w:t xml:space="preserve">                                                   продовження додатка</w:t>
    </w:r>
    <w:r>
      <w:rPr>
        <w:bCs/>
        <w:i/>
      </w:rPr>
    </w:r>
    <w:r>
      <w:rPr>
        <w:bCs/>
        <w:i/>
      </w:rPr>
    </w:r>
  </w:p>
  <w:p>
    <w:pPr>
      <w:pStyle w:val="905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143"/>
        </w:tabs>
        <w:spacing/>
        <w:ind w:hanging="435" w:left="114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95"/>
        </w:tabs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515"/>
        </w:tabs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235"/>
        </w:tabs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955"/>
        </w:tabs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75"/>
        </w:tabs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95"/>
        </w:tabs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115"/>
        </w:tabs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835"/>
        </w:tabs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555"/>
        </w:tabs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86"/>
      </w:pPr>
      <w:rPr>
        <w:rFonts w:ascii="Times New Roman" w:hAnsi="Times New Roman" w:eastAsia="Calibri" w:cs="Times New Roman"/>
        <w:i w:val="0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420"/>
        </w:tabs>
        <w:spacing/>
        <w:ind w:hanging="420" w:left="420"/>
      </w:pPr>
      <w:rPr/>
      <w:start w:val="3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1440"/>
        </w:tabs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2160"/>
        </w:tabs>
        <w:spacing/>
        <w:ind w:hanging="1080" w:left="216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520"/>
        </w:tabs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3240"/>
        </w:tabs>
        <w:spacing/>
        <w:ind w:hanging="1440" w:left="324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3960"/>
        </w:tabs>
        <w:spacing/>
        <w:ind w:hanging="1800" w:left="396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4320"/>
        </w:tabs>
        <w:spacing/>
        <w:ind w:hanging="1800" w:left="432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5040"/>
        </w:tabs>
        <w:spacing/>
        <w:ind w:hanging="2160" w:left="5040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8"/>
      </w:pPr>
      <w:rPr>
        <w:rFonts w:ascii="Times New Roman" w:hAnsi="Times New Roman" w:eastAsia="Calibri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8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930"/>
        </w:tabs>
        <w:spacing/>
        <w:ind w:hanging="360" w:left="93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50"/>
        </w:tabs>
        <w:spacing/>
        <w:ind w:hanging="360" w:left="165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70"/>
        </w:tabs>
        <w:spacing/>
        <w:ind w:hanging="180" w:left="237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90"/>
        </w:tabs>
        <w:spacing/>
        <w:ind w:hanging="360" w:left="309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10"/>
        </w:tabs>
        <w:spacing/>
        <w:ind w:hanging="360" w:left="381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30"/>
        </w:tabs>
        <w:spacing/>
        <w:ind w:hanging="180" w:left="453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50"/>
        </w:tabs>
        <w:spacing/>
        <w:ind w:hanging="360" w:left="525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70"/>
        </w:tabs>
        <w:spacing/>
        <w:ind w:hanging="360" w:left="597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90"/>
        </w:tabs>
        <w:spacing/>
        <w:ind w:hanging="180" w:left="669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80"/>
      </w:pPr>
      <w:rPr>
        <w:rFonts w:ascii="Times New Roman" w:hAnsi="Times New Roman" w:eastAsia="Calibri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4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80"/>
        </w:tabs>
        <w:spacing/>
        <w:ind w:hanging="420" w:left="7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Calibri" w:cs="Times New Roman"/>
      </w:rPr>
      <w:start w:val="1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644"/>
      </w:pPr>
      <w:rPr>
        <w:rFonts w:ascii="Times New Roman" w:hAnsi="Times New Roman" w:eastAsia="Calibri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840"/>
        </w:tabs>
        <w:spacing/>
        <w:ind w:hanging="480" w:left="8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86"/>
      </w:pPr>
      <w:rPr>
        <w:rFonts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6"/>
      </w:pPr>
      <w:rPr/>
      <w:start w:val="1"/>
      <w:suff w:val="tab"/>
    </w:lvl>
  </w:abstractNum>
  <w:abstractNum w:abstractNumId="15">
    <w:lvl w:ilvl="0">
      <w:isLgl w:val="false"/>
      <w:lvlJc w:val="left"/>
      <w:lvlText w:val=""/>
      <w:numFmt w:val="bullet"/>
      <w:pPr>
        <w:pBdr/>
        <w:tabs>
          <w:tab w:val="num" w:leader="none" w:pos="795"/>
        </w:tabs>
        <w:spacing/>
        <w:ind w:hanging="360" w:left="795"/>
      </w:pPr>
      <w:rPr>
        <w:rFonts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515"/>
        </w:tabs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235"/>
        </w:tabs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955"/>
        </w:tabs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75"/>
        </w:tabs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95"/>
        </w:tabs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115"/>
        </w:tabs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835"/>
        </w:tabs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555"/>
        </w:tabs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-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Times New Roman" w:hAnsi="Times New Roman" w:eastAsia="Times New Roman" w:cs="Times New Roman"/>
      </w:rPr>
      <w:start w:val="5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num w:numId="1">
    <w:abstractNumId w:val="12"/>
  </w:num>
  <w:num w:numId="2">
    <w:abstractNumId w:val="6"/>
  </w:num>
  <w:num w:numId="3">
    <w:abstractNumId w:val="17"/>
  </w:num>
  <w:num w:numId="4">
    <w:abstractNumId w:val="4"/>
  </w:num>
  <w:num w:numId="5">
    <w:abstractNumId w:val="1"/>
  </w:num>
  <w:num w:numId="6">
    <w:abstractNumId w:val="8"/>
  </w:num>
  <w:num w:numId="7">
    <w:abstractNumId w:val="0"/>
  </w:num>
  <w:num w:numId="8">
    <w:abstractNumId w:val="2"/>
  </w:num>
  <w:num w:numId="9">
    <w:abstractNumId w:val="1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6"/>
  </w:num>
  <w:num w:numId="13">
    <w:abstractNumId w:val="3"/>
  </w:num>
  <w:num w:numId="14">
    <w:abstractNumId w:val="7"/>
  </w:num>
  <w:num w:numId="15">
    <w:abstractNumId w:val="14"/>
  </w:num>
  <w:num w:numId="16">
    <w:abstractNumId w:val="10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Table Grid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Table Grid Light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1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2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1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2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3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4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5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6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1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2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3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4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5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6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1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2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3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4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5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6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9">
    <w:name w:val="Heading 1"/>
    <w:basedOn w:val="920"/>
    <w:next w:val="920"/>
    <w:link w:val="88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70">
    <w:name w:val="Heading 2"/>
    <w:basedOn w:val="920"/>
    <w:next w:val="920"/>
    <w:link w:val="88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71">
    <w:name w:val="Heading 3"/>
    <w:basedOn w:val="920"/>
    <w:next w:val="920"/>
    <w:link w:val="88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72">
    <w:name w:val="Heading 4"/>
    <w:basedOn w:val="920"/>
    <w:next w:val="920"/>
    <w:link w:val="88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3">
    <w:name w:val="Heading 5"/>
    <w:basedOn w:val="920"/>
    <w:next w:val="920"/>
    <w:link w:val="88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4">
    <w:name w:val="Heading 6"/>
    <w:basedOn w:val="920"/>
    <w:next w:val="920"/>
    <w:link w:val="88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5">
    <w:name w:val="Heading 7"/>
    <w:basedOn w:val="920"/>
    <w:next w:val="920"/>
    <w:link w:val="88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6">
    <w:name w:val="Heading 8"/>
    <w:basedOn w:val="920"/>
    <w:next w:val="920"/>
    <w:link w:val="88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7">
    <w:name w:val="Heading 9"/>
    <w:basedOn w:val="920"/>
    <w:next w:val="920"/>
    <w:link w:val="88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8" w:default="1">
    <w:name w:val="Default Paragraph Font"/>
    <w:uiPriority w:val="1"/>
    <w:semiHidden/>
    <w:unhideWhenUsed/>
    <w:pPr>
      <w:pBdr/>
      <w:spacing/>
      <w:ind/>
    </w:pPr>
  </w:style>
  <w:style w:type="numbering" w:styleId="879" w:default="1">
    <w:name w:val="No List"/>
    <w:uiPriority w:val="99"/>
    <w:semiHidden/>
    <w:unhideWhenUsed/>
    <w:pPr>
      <w:pBdr/>
      <w:spacing/>
      <w:ind/>
    </w:pPr>
  </w:style>
  <w:style w:type="character" w:styleId="880">
    <w:name w:val="Heading 1 Char"/>
    <w:basedOn w:val="878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81">
    <w:name w:val="Heading 2 Char"/>
    <w:basedOn w:val="878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2">
    <w:name w:val="Heading 3 Char"/>
    <w:basedOn w:val="878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3">
    <w:name w:val="Heading 4 Char"/>
    <w:basedOn w:val="878"/>
    <w:link w:val="87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4">
    <w:name w:val="Heading 5 Char"/>
    <w:basedOn w:val="878"/>
    <w:link w:val="8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5">
    <w:name w:val="Heading 6 Char"/>
    <w:basedOn w:val="878"/>
    <w:link w:val="8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6">
    <w:name w:val="Heading 7 Char"/>
    <w:basedOn w:val="878"/>
    <w:link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7">
    <w:name w:val="Heading 8 Char"/>
    <w:basedOn w:val="878"/>
    <w:link w:val="8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8">
    <w:name w:val="Heading 9 Char"/>
    <w:basedOn w:val="878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9">
    <w:name w:val="Title"/>
    <w:basedOn w:val="920"/>
    <w:next w:val="920"/>
    <w:link w:val="89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90">
    <w:name w:val="Title Char"/>
    <w:basedOn w:val="878"/>
    <w:link w:val="88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91">
    <w:name w:val="Subtitle"/>
    <w:basedOn w:val="920"/>
    <w:next w:val="920"/>
    <w:link w:val="89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2">
    <w:name w:val="Subtitle Char"/>
    <w:basedOn w:val="878"/>
    <w:link w:val="89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3">
    <w:name w:val="Quote"/>
    <w:basedOn w:val="920"/>
    <w:next w:val="920"/>
    <w:link w:val="89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4">
    <w:name w:val="Quote Char"/>
    <w:basedOn w:val="878"/>
    <w:link w:val="89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5">
    <w:name w:val="Intense Emphasis"/>
    <w:basedOn w:val="87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6">
    <w:name w:val="Intense Quote"/>
    <w:basedOn w:val="920"/>
    <w:next w:val="920"/>
    <w:link w:val="89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7">
    <w:name w:val="Intense Quote Char"/>
    <w:basedOn w:val="878"/>
    <w:link w:val="89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8">
    <w:name w:val="Intense Reference"/>
    <w:basedOn w:val="87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9">
    <w:name w:val="No Spacing"/>
    <w:basedOn w:val="920"/>
    <w:uiPriority w:val="1"/>
    <w:qFormat/>
    <w:pPr>
      <w:pBdr/>
      <w:spacing w:after="0" w:line="240" w:lineRule="auto"/>
      <w:ind/>
    </w:pPr>
  </w:style>
  <w:style w:type="character" w:styleId="900">
    <w:name w:val="Subtle Emphasis"/>
    <w:basedOn w:val="8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1">
    <w:name w:val="Emphasis"/>
    <w:basedOn w:val="878"/>
    <w:uiPriority w:val="20"/>
    <w:qFormat/>
    <w:pPr>
      <w:pBdr/>
      <w:spacing/>
      <w:ind/>
    </w:pPr>
    <w:rPr>
      <w:i/>
      <w:iCs/>
    </w:rPr>
  </w:style>
  <w:style w:type="character" w:styleId="902">
    <w:name w:val="Strong"/>
    <w:basedOn w:val="878"/>
    <w:uiPriority w:val="22"/>
    <w:qFormat/>
    <w:pPr>
      <w:pBdr/>
      <w:spacing/>
      <w:ind/>
    </w:pPr>
    <w:rPr>
      <w:b/>
      <w:bCs/>
    </w:rPr>
  </w:style>
  <w:style w:type="character" w:styleId="903">
    <w:name w:val="Subtle Reference"/>
    <w:basedOn w:val="8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4">
    <w:name w:val="Book Title"/>
    <w:basedOn w:val="8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5">
    <w:name w:val="Header"/>
    <w:basedOn w:val="920"/>
    <w:link w:val="90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6">
    <w:name w:val="Header Char"/>
    <w:basedOn w:val="878"/>
    <w:link w:val="905"/>
    <w:uiPriority w:val="99"/>
    <w:pPr>
      <w:pBdr/>
      <w:spacing/>
      <w:ind/>
    </w:pPr>
  </w:style>
  <w:style w:type="paragraph" w:styleId="907">
    <w:name w:val="Footer"/>
    <w:basedOn w:val="920"/>
    <w:link w:val="90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8">
    <w:name w:val="Footer Char"/>
    <w:basedOn w:val="878"/>
    <w:link w:val="907"/>
    <w:uiPriority w:val="99"/>
    <w:pPr>
      <w:pBdr/>
      <w:spacing/>
      <w:ind/>
    </w:pPr>
  </w:style>
  <w:style w:type="paragraph" w:styleId="909">
    <w:name w:val="Caption"/>
    <w:basedOn w:val="920"/>
    <w:next w:val="92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0">
    <w:name w:val="footnote text"/>
    <w:basedOn w:val="920"/>
    <w:link w:val="91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1">
    <w:name w:val="Footnote Text Char"/>
    <w:basedOn w:val="878"/>
    <w:link w:val="910"/>
    <w:uiPriority w:val="99"/>
    <w:semiHidden/>
    <w:pPr>
      <w:pBdr/>
      <w:spacing/>
      <w:ind/>
    </w:pPr>
    <w:rPr>
      <w:sz w:val="20"/>
      <w:szCs w:val="20"/>
    </w:rPr>
  </w:style>
  <w:style w:type="character" w:styleId="912">
    <w:name w:val="footnote reference"/>
    <w:basedOn w:val="878"/>
    <w:uiPriority w:val="99"/>
    <w:semiHidden/>
    <w:unhideWhenUsed/>
    <w:pPr>
      <w:pBdr/>
      <w:spacing/>
      <w:ind/>
    </w:pPr>
    <w:rPr>
      <w:vertAlign w:val="superscript"/>
    </w:rPr>
  </w:style>
  <w:style w:type="paragraph" w:styleId="913">
    <w:name w:val="endnote text"/>
    <w:basedOn w:val="920"/>
    <w:link w:val="9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4">
    <w:name w:val="Endnote Text Char"/>
    <w:basedOn w:val="878"/>
    <w:link w:val="913"/>
    <w:uiPriority w:val="99"/>
    <w:semiHidden/>
    <w:pPr>
      <w:pBdr/>
      <w:spacing/>
      <w:ind/>
    </w:pPr>
    <w:rPr>
      <w:sz w:val="20"/>
      <w:szCs w:val="20"/>
    </w:rPr>
  </w:style>
  <w:style w:type="character" w:styleId="915">
    <w:name w:val="endnote reference"/>
    <w:basedOn w:val="878"/>
    <w:uiPriority w:val="99"/>
    <w:semiHidden/>
    <w:unhideWhenUsed/>
    <w:pPr>
      <w:pBdr/>
      <w:spacing/>
      <w:ind/>
    </w:pPr>
    <w:rPr>
      <w:vertAlign w:val="superscript"/>
    </w:rPr>
  </w:style>
  <w:style w:type="character" w:styleId="916">
    <w:name w:val="Hyperlink"/>
    <w:basedOn w:val="87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7">
    <w:name w:val="FollowedHyperlink"/>
    <w:basedOn w:val="8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8">
    <w:name w:val="TOC Heading"/>
    <w:uiPriority w:val="39"/>
    <w:unhideWhenUsed/>
    <w:pPr>
      <w:pBdr/>
      <w:spacing/>
      <w:ind/>
    </w:pPr>
  </w:style>
  <w:style w:type="paragraph" w:styleId="919">
    <w:name w:val="table of figures"/>
    <w:basedOn w:val="920"/>
    <w:next w:val="920"/>
    <w:uiPriority w:val="99"/>
    <w:unhideWhenUsed/>
    <w:pPr>
      <w:pBdr/>
      <w:spacing w:after="0" w:afterAutospacing="0"/>
      <w:ind/>
    </w:pPr>
  </w:style>
  <w:style w:type="paragraph" w:styleId="920" w:default="1">
    <w:name w:val="Normal"/>
    <w:next w:val="920"/>
    <w:link w:val="920"/>
    <w:qFormat/>
    <w:pPr>
      <w:pBdr/>
      <w:spacing/>
      <w:ind/>
    </w:pPr>
    <w:rPr>
      <w:sz w:val="24"/>
      <w:szCs w:val="24"/>
      <w:lang w:val="ru-RU" w:eastAsia="ru-RU" w:bidi="ar-SA"/>
    </w:rPr>
  </w:style>
  <w:style w:type="paragraph" w:styleId="921">
    <w:name w:val="Заголовок 1"/>
    <w:basedOn w:val="920"/>
    <w:next w:val="920"/>
    <w:link w:val="920"/>
    <w:qFormat/>
    <w:pPr>
      <w:keepNext w:val="true"/>
      <w:pBdr/>
      <w:spacing w:after="60" w:before="240"/>
      <w:ind/>
      <w:outlineLvl w:val="0"/>
    </w:pPr>
    <w:rPr>
      <w:rFonts w:ascii="Arial" w:hAnsi="Arial" w:cs="Arial"/>
      <w:b/>
      <w:bCs/>
      <w:sz w:val="32"/>
      <w:szCs w:val="32"/>
    </w:rPr>
  </w:style>
  <w:style w:type="paragraph" w:styleId="922">
    <w:name w:val="Заголовок 2"/>
    <w:basedOn w:val="920"/>
    <w:next w:val="920"/>
    <w:link w:val="92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923">
    <w:name w:val="Основной шрифт абзаца"/>
    <w:next w:val="923"/>
    <w:link w:val="920"/>
    <w:semiHidden/>
    <w:pPr>
      <w:pBdr/>
      <w:spacing/>
      <w:ind/>
    </w:pPr>
  </w:style>
  <w:style w:type="table" w:styleId="924">
    <w:name w:val="Обычная таблица"/>
    <w:next w:val="924"/>
    <w:link w:val="92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5">
    <w:name w:val="Нет списка"/>
    <w:next w:val="925"/>
    <w:link w:val="920"/>
    <w:semiHidden/>
    <w:pPr>
      <w:pBdr/>
      <w:spacing/>
      <w:ind/>
    </w:pPr>
  </w:style>
  <w:style w:type="paragraph" w:styleId="926">
    <w:name w:val="Основной текст"/>
    <w:basedOn w:val="920"/>
    <w:next w:val="926"/>
    <w:link w:val="920"/>
    <w:pPr>
      <w:pBdr/>
      <w:spacing/>
      <w:ind/>
      <w:jc w:val="both"/>
    </w:pPr>
    <w:rPr>
      <w:sz w:val="28"/>
      <w:szCs w:val="28"/>
      <w:lang w:val="uk-UA"/>
    </w:rPr>
  </w:style>
  <w:style w:type="paragraph" w:styleId="927">
    <w:name w:val=" Знак Знак Знак Знак1 Знак Знак Знак"/>
    <w:basedOn w:val="920"/>
    <w:next w:val="927"/>
    <w:link w:val="920"/>
    <w:pPr>
      <w:pBdr/>
      <w:spacing/>
      <w:ind/>
    </w:pPr>
    <w:rPr>
      <w:rFonts w:ascii="Verdana" w:hAnsi="Verdana" w:cs="Verdana"/>
      <w:sz w:val="20"/>
      <w:szCs w:val="20"/>
      <w:lang w:val="en-US" w:eastAsia="en-US"/>
    </w:rPr>
  </w:style>
  <w:style w:type="table" w:styleId="928">
    <w:name w:val="Сетка таблицы"/>
    <w:basedOn w:val="924"/>
    <w:next w:val="928"/>
    <w:link w:val="920"/>
    <w:pPr>
      <w:pBdr/>
      <w:spacing/>
      <w:ind/>
    </w:p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9">
    <w:name w:val="Текст выноски"/>
    <w:basedOn w:val="920"/>
    <w:next w:val="929"/>
    <w:link w:val="920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0">
    <w:name w:val=" Знак Знак1 Знак Знак Знак Знак"/>
    <w:basedOn w:val="920"/>
    <w:next w:val="930"/>
    <w:link w:val="920"/>
    <w:pPr>
      <w:pBdr/>
      <w:spacing/>
      <w:ind/>
    </w:pPr>
    <w:rPr>
      <w:rFonts w:ascii="Verdana" w:hAnsi="Verdana" w:cs="Verdana"/>
      <w:sz w:val="20"/>
      <w:szCs w:val="20"/>
      <w:lang w:val="en-US" w:eastAsia="en-US"/>
    </w:rPr>
  </w:style>
  <w:style w:type="paragraph" w:styleId="931">
    <w:name w:val="Знак Знак Знак Знак"/>
    <w:basedOn w:val="920"/>
    <w:next w:val="931"/>
    <w:link w:val="920"/>
    <w:pPr>
      <w:pBdr/>
      <w:spacing/>
      <w:ind/>
    </w:pPr>
    <w:rPr>
      <w:rFonts w:ascii="Verdana" w:hAnsi="Verdana" w:cs="Verdana"/>
      <w:sz w:val="20"/>
      <w:szCs w:val="20"/>
      <w:lang w:val="en-US" w:eastAsia="en-US"/>
    </w:rPr>
  </w:style>
  <w:style w:type="character" w:styleId="932">
    <w:name w:val="Гиперссылка"/>
    <w:next w:val="932"/>
    <w:link w:val="920"/>
    <w:pPr>
      <w:pBdr/>
      <w:spacing/>
      <w:ind/>
    </w:pPr>
    <w:rPr>
      <w:color w:val="0000ff"/>
      <w:u w:val="single"/>
    </w:rPr>
  </w:style>
  <w:style w:type="paragraph" w:styleId="933">
    <w:name w:val="Знак"/>
    <w:basedOn w:val="920"/>
    <w:next w:val="933"/>
    <w:link w:val="920"/>
    <w:pPr>
      <w:pBdr/>
      <w:spacing/>
      <w:ind/>
    </w:pPr>
    <w:rPr>
      <w:rFonts w:ascii="Verdana" w:hAnsi="Verdana" w:cs="Verdana"/>
      <w:sz w:val="20"/>
      <w:szCs w:val="20"/>
      <w:lang w:val="uk-UA" w:eastAsia="en-US"/>
    </w:rPr>
  </w:style>
  <w:style w:type="paragraph" w:styleId="934">
    <w:name w:val="List Paragraph"/>
    <w:basedOn w:val="920"/>
    <w:next w:val="934"/>
    <w:link w:val="920"/>
    <w:pPr>
      <w:pBdr/>
      <w:spacing/>
      <w:ind w:left="720"/>
      <w:contextualSpacing w:val="true"/>
    </w:pPr>
  </w:style>
  <w:style w:type="paragraph" w:styleId="935">
    <w:name w:val="login-button__user"/>
    <w:basedOn w:val="920"/>
    <w:next w:val="935"/>
    <w:link w:val="920"/>
    <w:pPr>
      <w:pBdr/>
      <w:spacing w:after="100" w:afterAutospacing="1" w:before="100" w:beforeAutospacing="1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1</dc:creator>
  <cp:lastModifiedBy>СТАЛЬНИЧЕНКО Юрій Валерійович</cp:lastModifiedBy>
  <cp:revision>37</cp:revision>
  <dcterms:created xsi:type="dcterms:W3CDTF">2026-01-09T08:12:00Z</dcterms:created>
  <dcterms:modified xsi:type="dcterms:W3CDTF">2026-01-29T17:07:37Z</dcterms:modified>
  <cp:version>917504</cp:version>
</cp:coreProperties>
</file>